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72"/>
          <w:szCs w:val="72"/>
          <w:highlight w:val="none"/>
          <w:lang w:val="en-US" w:eastAsia="zh-CN"/>
        </w:rPr>
        <w:t xml:space="preserve">                                                                                                                                                  </w:t>
      </w:r>
    </w:p>
    <w:p>
      <w:pPr>
        <w:snapToGrid w:val="0"/>
        <w:spacing w:before="156" w:beforeLines="50"/>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招标文件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rFonts w:ascii="宋体" w:hAnsi="宋体"/>
          <w:color w:val="auto"/>
          <w:sz w:val="24"/>
          <w:highlight w:val="none"/>
        </w:rPr>
      </w:pPr>
    </w:p>
    <w:p>
      <w:pPr>
        <w:rPr>
          <w:rFonts w:ascii="宋体" w:hAnsi="宋体"/>
          <w:color w:val="auto"/>
          <w:sz w:val="24"/>
          <w:highlight w:val="none"/>
        </w:rPr>
      </w:pPr>
    </w:p>
    <w:p>
      <w:pPr>
        <w:pStyle w:val="8"/>
        <w:rPr>
          <w:color w:val="auto"/>
          <w:highlight w:val="none"/>
        </w:rPr>
      </w:pPr>
    </w:p>
    <w:p>
      <w:pPr>
        <w:spacing w:line="360" w:lineRule="auto"/>
        <w:rPr>
          <w:rFonts w:ascii="宋体" w:hAnsi="宋体"/>
          <w:color w:val="auto"/>
          <w:sz w:val="24"/>
          <w:highlight w:val="none"/>
        </w:rPr>
      </w:pPr>
    </w:p>
    <w:p>
      <w:pPr>
        <w:pStyle w:val="8"/>
        <w:spacing w:line="360" w:lineRule="auto"/>
        <w:ind w:firstLine="424" w:firstLineChars="132"/>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eastAsia="zh-CN"/>
        </w:rPr>
        <w:t>HDZB-GS2024063</w:t>
      </w:r>
    </w:p>
    <w:p>
      <w:pPr>
        <w:pStyle w:val="8"/>
        <w:spacing w:line="360" w:lineRule="auto"/>
        <w:ind w:left="2012" w:leftChars="201" w:right="248" w:rightChars="118" w:hanging="1590" w:hangingChars="495"/>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项目名称：</w:t>
      </w:r>
      <w:r>
        <w:rPr>
          <w:rFonts w:hint="eastAsia" w:ascii="宋体" w:hAnsi="宋体" w:cs="宋体"/>
          <w:b/>
          <w:color w:val="auto"/>
          <w:sz w:val="32"/>
          <w:highlight w:val="none"/>
          <w:lang w:eastAsia="zh-CN"/>
        </w:rPr>
        <w:t>椰林海鲜码头产业园项目第三方检测监测服务</w:t>
      </w:r>
    </w:p>
    <w:p>
      <w:pPr>
        <w:spacing w:line="360" w:lineRule="auto"/>
        <w:ind w:right="248" w:rightChars="118"/>
        <w:jc w:val="center"/>
        <w:rPr>
          <w:rFonts w:hint="eastAsia" w:ascii="宋体" w:hAnsi="宋体" w:eastAsia="宋体" w:cs="宋体"/>
          <w:color w:val="auto"/>
          <w:sz w:val="30"/>
          <w:highlight w:val="none"/>
        </w:rPr>
      </w:pPr>
    </w:p>
    <w:p>
      <w:pPr>
        <w:spacing w:line="360" w:lineRule="auto"/>
        <w:jc w:val="both"/>
        <w:rPr>
          <w:rFonts w:hint="eastAsia" w:ascii="宋体" w:hAnsi="宋体" w:eastAsia="宋体" w:cs="宋体"/>
          <w:color w:val="auto"/>
          <w:sz w:val="30"/>
          <w:highlight w:val="none"/>
          <w:lang w:val="en-US" w:eastAsia="zh-CN"/>
        </w:rPr>
      </w:pPr>
    </w:p>
    <w:p>
      <w:pPr>
        <w:spacing w:line="360" w:lineRule="auto"/>
        <w:jc w:val="center"/>
        <w:rPr>
          <w:rFonts w:hint="eastAsia" w:ascii="宋体" w:hAnsi="宋体" w:eastAsia="宋体" w:cs="宋体"/>
          <w:color w:val="auto"/>
          <w:sz w:val="30"/>
          <w:highlight w:val="none"/>
          <w:lang w:val="en-US" w:eastAsia="zh-CN"/>
        </w:rPr>
      </w:pP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val="en-US" w:eastAsia="zh-CN"/>
        </w:rPr>
        <w:t>采  购   人</w:t>
      </w:r>
      <w:r>
        <w:rPr>
          <w:rFonts w:hint="eastAsia" w:ascii="宋体" w:hAnsi="宋体" w:eastAsia="宋体" w:cs="宋体"/>
          <w:color w:val="auto"/>
          <w:sz w:val="30"/>
          <w:highlight w:val="none"/>
        </w:rPr>
        <w:t>：</w:t>
      </w:r>
      <w:r>
        <w:rPr>
          <w:rFonts w:hint="eastAsia" w:ascii="宋体" w:hAnsi="宋体" w:eastAsia="宋体" w:cs="宋体"/>
          <w:color w:val="auto"/>
          <w:sz w:val="30"/>
          <w:highlight w:val="none"/>
          <w:lang w:eastAsia="zh-CN"/>
        </w:rPr>
        <w:t>广州市昌记供应链有限公司（椰林集团）</w:t>
      </w:r>
    </w:p>
    <w:p>
      <w:pPr>
        <w:spacing w:line="360" w:lineRule="auto"/>
        <w:jc w:val="both"/>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r>
        <w:rPr>
          <w:rFonts w:hint="eastAsia" w:ascii="宋体" w:hAnsi="宋体" w:eastAsia="宋体" w:cs="宋体"/>
          <w:color w:val="auto"/>
          <w:sz w:val="30"/>
          <w:highlight w:val="none"/>
          <w:lang w:val="en-US" w:eastAsia="zh-CN"/>
        </w:rPr>
        <w:t xml:space="preserve">         </w:t>
      </w:r>
    </w:p>
    <w:p>
      <w:pPr>
        <w:spacing w:line="360" w:lineRule="auto"/>
        <w:jc w:val="center"/>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 xml:space="preserve"> </w:t>
      </w:r>
    </w:p>
    <w:p>
      <w:pPr>
        <w:spacing w:line="360" w:lineRule="auto"/>
        <w:jc w:val="both"/>
        <w:rPr>
          <w:rFonts w:hint="eastAsia" w:ascii="宋体" w:hAnsi="宋体" w:eastAsia="宋体" w:cs="宋体"/>
          <w:color w:val="auto"/>
          <w:sz w:val="30"/>
          <w:highlight w:val="none"/>
        </w:rPr>
      </w:pPr>
      <w:r>
        <w:rPr>
          <w:rFonts w:hint="eastAsia" w:ascii="宋体" w:hAnsi="宋体" w:eastAsia="宋体" w:cs="宋体"/>
          <w:color w:val="auto"/>
          <w:sz w:val="30"/>
          <w:highlight w:val="none"/>
        </w:rPr>
        <w:t>采购代理机构：广东国仕工程咨询有限公司</w:t>
      </w:r>
    </w:p>
    <w:p>
      <w:pPr>
        <w:spacing w:line="360" w:lineRule="auto"/>
        <w:jc w:val="both"/>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日        期：2024年 1</w:t>
      </w:r>
      <w:r>
        <w:rPr>
          <w:rFonts w:hint="eastAsia" w:ascii="宋体" w:hAnsi="宋体" w:cs="宋体"/>
          <w:color w:val="auto"/>
          <w:sz w:val="30"/>
          <w:highlight w:val="none"/>
          <w:lang w:val="en-US" w:eastAsia="zh-CN"/>
        </w:rPr>
        <w:t>1</w:t>
      </w:r>
      <w:r>
        <w:rPr>
          <w:rFonts w:hint="eastAsia" w:ascii="宋体" w:hAnsi="宋体" w:eastAsia="宋体" w:cs="宋体"/>
          <w:color w:val="auto"/>
          <w:sz w:val="30"/>
          <w:highlight w:val="none"/>
          <w:lang w:val="en-US" w:eastAsia="zh-CN"/>
        </w:rPr>
        <w:t>月</w:t>
      </w:r>
    </w:p>
    <w:p>
      <w:pPr>
        <w:autoSpaceDE w:val="0"/>
        <w:autoSpaceDN w:val="0"/>
        <w:adjustRightInd w:val="0"/>
        <w:snapToGrid w:val="0"/>
        <w:spacing w:before="156" w:beforeLines="50" w:after="156" w:afterLines="50"/>
        <w:jc w:val="center"/>
        <w:rPr>
          <w:rFonts w:hint="eastAsia" w:ascii="宋体" w:hAnsi="宋体"/>
          <w:b/>
          <w:color w:val="auto"/>
          <w:sz w:val="44"/>
          <w:szCs w:val="44"/>
          <w:highlight w:val="none"/>
        </w:rPr>
        <w:sectPr>
          <w:footerReference r:id="rId5" w:type="first"/>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0"/>
          <w:cols w:space="0" w:num="1"/>
          <w:titlePg/>
          <w:rtlGutter w:val="0"/>
          <w:docGrid w:type="lines" w:linePitch="312" w:charSpace="0"/>
        </w:sectPr>
      </w:pPr>
    </w:p>
    <w:p>
      <w:pPr>
        <w:autoSpaceDE w:val="0"/>
        <w:autoSpaceDN w:val="0"/>
        <w:adjustRightInd w:val="0"/>
        <w:snapToGrid w:val="0"/>
        <w:spacing w:before="156" w:beforeLines="50" w:after="156" w:afterLines="50"/>
        <w:jc w:val="center"/>
        <w:rPr>
          <w:rFonts w:ascii="宋体" w:hAnsi="宋体"/>
          <w:b/>
          <w:color w:val="auto"/>
          <w:sz w:val="44"/>
          <w:szCs w:val="44"/>
          <w:highlight w:val="none"/>
        </w:rPr>
      </w:pPr>
      <w:r>
        <w:rPr>
          <w:rFonts w:hint="eastAsia" w:ascii="宋体" w:hAnsi="宋体"/>
          <w:b/>
          <w:color w:val="auto"/>
          <w:sz w:val="44"/>
          <w:szCs w:val="44"/>
          <w:highlight w:val="none"/>
        </w:rPr>
        <w:t>温馨提示！</w:t>
      </w:r>
      <w:r>
        <w:rPr>
          <w:rFonts w:ascii="宋体" w:hAnsi="宋体"/>
          <w:b/>
          <w:color w:val="auto"/>
          <w:sz w:val="44"/>
          <w:szCs w:val="44"/>
          <w:highlight w:val="none"/>
        </w:rPr>
        <w:t xml:space="preserve"> </w:t>
      </w:r>
    </w:p>
    <w:p>
      <w:pPr>
        <w:tabs>
          <w:tab w:val="left" w:pos="0"/>
        </w:tabs>
        <w:spacing w:before="156" w:beforeLines="50" w:after="156" w:afterLines="50"/>
        <w:jc w:val="center"/>
        <w:rPr>
          <w:rFonts w:ascii="宋体" w:hAnsi="宋体"/>
          <w:b/>
          <w:color w:val="auto"/>
          <w:szCs w:val="21"/>
          <w:highlight w:val="none"/>
        </w:rPr>
      </w:pPr>
      <w:r>
        <w:rPr>
          <w:rFonts w:hint="eastAsia" w:ascii="宋体" w:hAnsi="宋体"/>
          <w:b/>
          <w:color w:val="auto"/>
          <w:szCs w:val="21"/>
          <w:highlight w:val="none"/>
        </w:rPr>
        <w:t>（本提示内容非招标文件的组成部分，仅为善意提醒。如有不一致的地方，以招标文件为准）</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如无另行说明，投标文件递交时间为投标截止时间</w:t>
      </w:r>
      <w:r>
        <w:rPr>
          <w:rFonts w:hint="eastAsia" w:ascii="宋体" w:hAnsi="宋体"/>
          <w:b/>
          <w:color w:val="auto"/>
          <w:szCs w:val="21"/>
          <w:highlight w:val="none"/>
          <w:u w:val="single"/>
        </w:rPr>
        <w:t>前30分钟</w:t>
      </w:r>
      <w:r>
        <w:rPr>
          <w:rFonts w:hint="eastAsia" w:ascii="宋体" w:hAnsi="宋体"/>
          <w:color w:val="auto"/>
          <w:szCs w:val="21"/>
          <w:highlight w:val="none"/>
        </w:rPr>
        <w:t>内。</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本项目邀请投标人参加开标会议，请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投标文件应按顺序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709"/>
        </w:tabs>
        <w:spacing w:line="360" w:lineRule="auto"/>
        <w:ind w:left="700" w:hanging="700"/>
        <w:rPr>
          <w:rFonts w:ascii="宋体" w:hAnsi="宋体"/>
          <w:color w:val="auto"/>
          <w:szCs w:val="21"/>
          <w:highlight w:val="none"/>
        </w:rPr>
      </w:pPr>
      <w:r>
        <w:rPr>
          <w:rFonts w:hint="eastAsia" w:ascii="宋体" w:hAnsi="宋体"/>
          <w:color w:val="auto"/>
          <w:szCs w:val="21"/>
          <w:highlight w:val="none"/>
        </w:rPr>
        <w:t>请仔细检查投标文件是否已按招标文件要求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spacing w:line="360" w:lineRule="auto"/>
        <w:ind w:firstLine="630" w:firstLineChars="300"/>
        <w:jc w:val="both"/>
        <w:rPr>
          <w:rFonts w:hint="eastAsia" w:ascii="宋体" w:hAnsi="宋体"/>
          <w:color w:val="auto"/>
          <w:szCs w:val="21"/>
          <w:highlight w:val="none"/>
        </w:rPr>
      </w:pPr>
      <w:r>
        <w:rPr>
          <w:rFonts w:hint="eastAsia" w:ascii="宋体" w:hAnsi="宋体"/>
          <w:color w:val="auto"/>
          <w:szCs w:val="21"/>
          <w:highlight w:val="none"/>
        </w:rPr>
        <w:t>请正确填写《开标一览表（报价表）》、《投标分项报价表》（如有）。</w:t>
      </w:r>
      <w:bookmarkStart w:id="0" w:name="_Toc292267790"/>
      <w:bookmarkStart w:id="1" w:name="_Toc435114676"/>
      <w:bookmarkStart w:id="2" w:name="_Toc435115363"/>
      <w:bookmarkStart w:id="3" w:name="_Toc435115051"/>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ascii="宋体" w:hAnsi="宋体"/>
          <w:color w:val="auto"/>
          <w:szCs w:val="21"/>
          <w:highlight w:val="none"/>
        </w:rPr>
      </w:pPr>
    </w:p>
    <w:p>
      <w:pPr>
        <w:rPr>
          <w:rFonts w:hint="eastAsia" w:ascii="宋体" w:hAnsi="宋体"/>
          <w:color w:val="auto"/>
          <w:szCs w:val="21"/>
          <w:highlight w:val="none"/>
        </w:rPr>
      </w:pPr>
    </w:p>
    <w:p>
      <w:pPr>
        <w:pStyle w:val="6"/>
        <w:rPr>
          <w:rFonts w:hint="eastAsia"/>
          <w:color w:val="auto"/>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7"/>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投标邀请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_Toc31970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投标资料表</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开标、评标、定标</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 xml:space="preserve">第四章 </w:t>
      </w:r>
      <w:r>
        <w:rPr>
          <w:rFonts w:hint="eastAsia" w:ascii="宋体" w:hAnsi="宋体" w:cs="宋体"/>
          <w:bCs/>
          <w:color w:val="auto"/>
          <w:sz w:val="24"/>
          <w:szCs w:val="24"/>
          <w:highlight w:val="none"/>
          <w:lang w:val="en-US" w:eastAsia="zh-CN"/>
        </w:rPr>
        <w:t>招标人要求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_Toc19248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工程量清单及招标控制价</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33</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第八章</w:t>
      </w:r>
      <w:r>
        <w:rPr>
          <w:rFonts w:hint="eastAsia" w:ascii="宋体" w:hAnsi="宋体" w:eastAsia="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图纸</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pPr>
        <w:pStyle w:val="16"/>
        <w:keepNext w:val="0"/>
        <w:keepLines w:val="0"/>
        <w:pageBreakBefore w:val="0"/>
        <w:widowControl w:val="0"/>
        <w:tabs>
          <w:tab w:val="right" w:leader="dot" w:pos="9072"/>
        </w:tabs>
        <w:kinsoku/>
        <w:wordWrap/>
        <w:overflowPunct/>
        <w:topLinePunct w:val="0"/>
        <w:autoSpaceDE/>
        <w:autoSpaceDN/>
        <w:bidi w:val="0"/>
        <w:adjustRightInd/>
        <w:snapToGrid/>
        <w:spacing w:before="0"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第九章</w:t>
      </w:r>
      <w:r>
        <w:rPr>
          <w:rFonts w:hint="eastAsia" w:ascii="宋体" w:hAnsi="宋体" w:eastAsia="宋体" w:cs="宋体"/>
          <w:bCs/>
          <w:color w:val="auto"/>
          <w:sz w:val="24"/>
          <w:szCs w:val="24"/>
          <w:highlight w:val="none"/>
        </w:rPr>
        <w:t xml:space="preserve"> 投标人须知</w:t>
      </w:r>
      <w:r>
        <w:rPr>
          <w:rFonts w:hint="eastAsia" w:ascii="宋体" w:hAnsi="宋体" w:cs="宋体"/>
          <w:bCs/>
          <w:color w:val="auto"/>
          <w:sz w:val="24"/>
          <w:szCs w:val="24"/>
          <w:highlight w:val="none"/>
          <w:lang w:val="en-US" w:eastAsia="zh-CN"/>
        </w:rPr>
        <w:t>........................................................38</w:t>
      </w:r>
    </w:p>
    <w:p>
      <w:pPr>
        <w:pStyle w:val="16"/>
        <w:keepNext w:val="0"/>
        <w:keepLines w:val="0"/>
        <w:pageBreakBefore w:val="0"/>
        <w:widowControl w:val="0"/>
        <w:tabs>
          <w:tab w:val="right" w:leader="dot" w:pos="9170"/>
        </w:tabs>
        <w:kinsoku/>
        <w:wordWrap/>
        <w:overflowPunct/>
        <w:topLinePunct w:val="0"/>
        <w:autoSpaceDE/>
        <w:autoSpaceDN/>
        <w:bidi w:val="0"/>
        <w:adjustRightInd/>
        <w:snapToGrid/>
        <w:spacing w:before="0" w:after="0" w:line="360" w:lineRule="auto"/>
        <w:textAlignment w:val="auto"/>
        <w:rPr>
          <w:b w:val="0"/>
          <w:bCs w:val="0"/>
          <w:color w:val="auto"/>
          <w:sz w:val="28"/>
          <w:szCs w:val="28"/>
          <w:highlight w:val="none"/>
        </w:rPr>
      </w:pPr>
      <w:r>
        <w:rPr>
          <w:rFonts w:hint="eastAsia" w:ascii="宋体" w:hAnsi="宋体" w:eastAsia="宋体" w:cs="宋体"/>
          <w:color w:val="auto"/>
          <w:sz w:val="24"/>
          <w:szCs w:val="24"/>
          <w:highlight w:val="none"/>
        </w:rPr>
        <w:fldChar w:fldCharType="end"/>
      </w:r>
      <w:bookmarkEnd w:id="0"/>
      <w:bookmarkEnd w:id="1"/>
      <w:bookmarkEnd w:id="2"/>
      <w:bookmarkStart w:id="4" w:name="_Toc435514842"/>
    </w:p>
    <w:p>
      <w:pPr>
        <w:spacing w:before="156" w:beforeLines="50" w:after="156" w:afterLines="50" w:line="360" w:lineRule="auto"/>
        <w:jc w:val="center"/>
        <w:outlineLvl w:val="0"/>
        <w:rPr>
          <w:b/>
          <w:bCs/>
          <w:color w:val="auto"/>
          <w:sz w:val="28"/>
          <w:szCs w:val="28"/>
          <w:highlight w:val="none"/>
        </w:rPr>
        <w:sectPr>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 w:name="_Toc498961239"/>
    </w:p>
    <w:bookmarkEnd w:id="3"/>
    <w:bookmarkEnd w:id="4"/>
    <w:bookmarkEnd w:id="5"/>
    <w:p>
      <w:pPr>
        <w:spacing w:before="156" w:beforeLines="50" w:after="156" w:afterLines="50" w:line="360" w:lineRule="auto"/>
        <w:jc w:val="center"/>
        <w:outlineLvl w:val="0"/>
        <w:rPr>
          <w:b/>
          <w:bCs/>
          <w:color w:val="auto"/>
          <w:sz w:val="28"/>
          <w:szCs w:val="28"/>
          <w:highlight w:val="none"/>
        </w:rPr>
      </w:pPr>
      <w:bookmarkStart w:id="6" w:name="_Toc435514843"/>
      <w:bookmarkStart w:id="7" w:name="_Toc435115052"/>
      <w:bookmarkStart w:id="8" w:name="_Toc31970"/>
      <w:r>
        <w:rPr>
          <w:b/>
          <w:bCs/>
          <w:color w:val="auto"/>
          <w:sz w:val="28"/>
          <w:szCs w:val="28"/>
          <w:highlight w:val="none"/>
        </w:rPr>
        <w:t>第</w:t>
      </w:r>
      <w:r>
        <w:rPr>
          <w:rFonts w:hint="eastAsia"/>
          <w:b/>
          <w:bCs/>
          <w:color w:val="auto"/>
          <w:sz w:val="28"/>
          <w:szCs w:val="28"/>
          <w:highlight w:val="none"/>
          <w:lang w:val="en-US" w:eastAsia="zh-CN"/>
        </w:rPr>
        <w:t>一</w:t>
      </w:r>
      <w:r>
        <w:rPr>
          <w:b/>
          <w:bCs/>
          <w:color w:val="auto"/>
          <w:sz w:val="28"/>
          <w:szCs w:val="28"/>
          <w:highlight w:val="none"/>
        </w:rPr>
        <w:t>章</w:t>
      </w:r>
      <w:r>
        <w:rPr>
          <w:rFonts w:hint="eastAsia"/>
          <w:b/>
          <w:bCs/>
          <w:color w:val="auto"/>
          <w:sz w:val="28"/>
          <w:szCs w:val="28"/>
          <w:highlight w:val="none"/>
        </w:rPr>
        <w:t xml:space="preserve"> 投标邀请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bCs/>
          <w:color w:val="auto"/>
          <w:sz w:val="21"/>
          <w:szCs w:val="21"/>
          <w:highlight w:val="none"/>
        </w:rPr>
      </w:pPr>
      <w:r>
        <w:rPr>
          <w:rFonts w:hint="eastAsia" w:ascii="宋体"/>
          <w:bCs/>
          <w:color w:val="auto"/>
          <w:sz w:val="21"/>
          <w:szCs w:val="21"/>
          <w:highlight w:val="none"/>
          <w:lang w:eastAsia="zh-CN"/>
        </w:rPr>
        <w:t>广东国仕工程咨询有限公司</w:t>
      </w:r>
      <w:r>
        <w:rPr>
          <w:rFonts w:hint="eastAsia" w:ascii="宋体"/>
          <w:bCs/>
          <w:color w:val="auto"/>
          <w:sz w:val="21"/>
          <w:szCs w:val="21"/>
          <w:highlight w:val="none"/>
        </w:rPr>
        <w:t>受</w:t>
      </w:r>
      <w:r>
        <w:rPr>
          <w:rFonts w:hint="eastAsia" w:ascii="宋体" w:hAnsi="宋体"/>
          <w:color w:val="auto"/>
          <w:sz w:val="21"/>
          <w:szCs w:val="21"/>
          <w:highlight w:val="none"/>
          <w:lang w:eastAsia="zh-CN"/>
        </w:rPr>
        <w:t>广州市昌记供应链有限公司（椰林集团）</w:t>
      </w:r>
      <w:r>
        <w:rPr>
          <w:rFonts w:hint="eastAsia" w:ascii="宋体"/>
          <w:bCs/>
          <w:color w:val="auto"/>
          <w:sz w:val="21"/>
          <w:szCs w:val="21"/>
          <w:highlight w:val="none"/>
        </w:rPr>
        <w:t>的委托，</w:t>
      </w:r>
      <w:r>
        <w:rPr>
          <w:rFonts w:hint="eastAsia" w:ascii="宋体" w:hAnsi="宋体"/>
          <w:bCs/>
          <w:color w:val="auto"/>
          <w:sz w:val="21"/>
          <w:szCs w:val="21"/>
          <w:highlight w:val="none"/>
        </w:rPr>
        <w:t>对</w:t>
      </w:r>
      <w:r>
        <w:rPr>
          <w:rFonts w:hint="eastAsia" w:ascii="宋体" w:hAnsi="宋体"/>
          <w:bCs/>
          <w:color w:val="auto"/>
          <w:sz w:val="21"/>
          <w:szCs w:val="21"/>
          <w:highlight w:val="none"/>
          <w:lang w:eastAsia="zh-CN"/>
        </w:rPr>
        <w:t>椰林海鲜码头产业园项目第三方检测监测服务</w:t>
      </w:r>
      <w:r>
        <w:rPr>
          <w:rFonts w:hint="eastAsia" w:ascii="宋体" w:hAnsi="宋体"/>
          <w:bCs/>
          <w:color w:val="auto"/>
          <w:sz w:val="21"/>
          <w:szCs w:val="21"/>
          <w:highlight w:val="none"/>
        </w:rPr>
        <w:t>进行公开招</w:t>
      </w:r>
      <w:r>
        <w:rPr>
          <w:rFonts w:hint="eastAsia" w:ascii="宋体"/>
          <w:bCs/>
          <w:color w:val="auto"/>
          <w:sz w:val="21"/>
          <w:szCs w:val="21"/>
          <w:highlight w:val="none"/>
        </w:rPr>
        <w:t>标</w:t>
      </w:r>
      <w:r>
        <w:rPr>
          <w:rFonts w:hint="eastAsia" w:ascii="宋体"/>
          <w:bCs/>
          <w:color w:val="auto"/>
          <w:sz w:val="21"/>
          <w:szCs w:val="21"/>
          <w:highlight w:val="none"/>
          <w:lang w:val="en-US" w:eastAsia="zh-CN"/>
        </w:rPr>
        <w:t xml:space="preserve"> </w:t>
      </w:r>
      <w:r>
        <w:rPr>
          <w:rFonts w:hint="eastAsia" w:ascii="宋体"/>
          <w:bCs/>
          <w:color w:val="auto"/>
          <w:sz w:val="21"/>
          <w:szCs w:val="21"/>
          <w:highlight w:val="none"/>
        </w:rPr>
        <w:t>，</w:t>
      </w:r>
      <w:r>
        <w:rPr>
          <w:rFonts w:hint="eastAsia" w:ascii="宋体" w:hAnsi="宋体"/>
          <w:color w:val="auto"/>
          <w:sz w:val="21"/>
          <w:szCs w:val="21"/>
          <w:highlight w:val="none"/>
        </w:rPr>
        <w:t>欢迎符合资格条件的</w:t>
      </w:r>
      <w:r>
        <w:rPr>
          <w:rFonts w:hint="eastAsia" w:ascii="宋体" w:hAnsi="宋体" w:cs="宋体"/>
          <w:i w:val="0"/>
          <w:iCs w:val="0"/>
          <w:caps w:val="0"/>
          <w:color w:val="auto"/>
          <w:spacing w:val="0"/>
          <w:kern w:val="0"/>
          <w:sz w:val="21"/>
          <w:szCs w:val="21"/>
          <w:shd w:val="clear" w:color="auto" w:fill="FFFFFF"/>
          <w:lang w:val="en-US" w:eastAsia="zh-CN" w:bidi="ar"/>
        </w:rPr>
        <w:t>投标单位</w:t>
      </w:r>
      <w:r>
        <w:rPr>
          <w:rFonts w:hint="eastAsia" w:ascii="宋体" w:hAnsi="宋体" w:eastAsia="宋体" w:cs="宋体"/>
          <w:i w:val="0"/>
          <w:iCs w:val="0"/>
          <w:caps w:val="0"/>
          <w:color w:val="auto"/>
          <w:spacing w:val="0"/>
          <w:kern w:val="0"/>
          <w:sz w:val="21"/>
          <w:szCs w:val="21"/>
          <w:shd w:val="clear" w:color="auto" w:fill="FFFFFF"/>
          <w:lang w:val="en-US" w:eastAsia="zh-CN" w:bidi="ar"/>
        </w:rPr>
        <w:t>参加投标</w:t>
      </w:r>
      <w:r>
        <w:rPr>
          <w:rFonts w:hint="eastAsia" w:ascii="宋体" w:hAnsi="宋体"/>
          <w:color w:val="auto"/>
          <w:sz w:val="21"/>
          <w:szCs w:val="21"/>
          <w:highlight w:val="non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eastAsia="宋体"/>
          <w:b/>
          <w:bCs w:val="0"/>
          <w:color w:val="auto"/>
          <w:sz w:val="21"/>
          <w:szCs w:val="21"/>
          <w:highlight w:val="none"/>
          <w:lang w:eastAsia="zh-CN"/>
        </w:rPr>
      </w:pPr>
      <w:r>
        <w:rPr>
          <w:rFonts w:hint="eastAsia" w:ascii="宋体"/>
          <w:b/>
          <w:bCs w:val="0"/>
          <w:color w:val="auto"/>
          <w:sz w:val="21"/>
          <w:szCs w:val="21"/>
          <w:highlight w:val="none"/>
          <w:lang w:eastAsia="zh-CN"/>
        </w:rPr>
        <w:t>一、</w:t>
      </w:r>
      <w:r>
        <w:rPr>
          <w:rFonts w:hint="eastAsia" w:ascii="宋体"/>
          <w:b/>
          <w:bCs w:val="0"/>
          <w:color w:val="auto"/>
          <w:sz w:val="21"/>
          <w:szCs w:val="21"/>
          <w:highlight w:val="none"/>
        </w:rPr>
        <w:t>项目编号：</w:t>
      </w:r>
      <w:r>
        <w:rPr>
          <w:rFonts w:hint="eastAsia" w:ascii="宋体"/>
          <w:b/>
          <w:bCs w:val="0"/>
          <w:color w:val="auto"/>
          <w:sz w:val="21"/>
          <w:szCs w:val="21"/>
          <w:highlight w:val="none"/>
          <w:lang w:eastAsia="zh-CN"/>
        </w:rPr>
        <w:t>HDZB-GS2024063</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hAnsi="宋体"/>
          <w:b/>
          <w:bCs w:val="0"/>
          <w:color w:val="auto"/>
          <w:sz w:val="21"/>
          <w:szCs w:val="21"/>
          <w:highlight w:val="none"/>
        </w:rPr>
      </w:pPr>
      <w:r>
        <w:rPr>
          <w:rFonts w:hint="eastAsia" w:ascii="宋体"/>
          <w:b/>
          <w:bCs w:val="0"/>
          <w:color w:val="auto"/>
          <w:sz w:val="21"/>
          <w:szCs w:val="21"/>
          <w:highlight w:val="none"/>
          <w:lang w:eastAsia="zh-CN"/>
        </w:rPr>
        <w:t>二、</w:t>
      </w:r>
      <w:r>
        <w:rPr>
          <w:rFonts w:hint="eastAsia" w:ascii="宋体"/>
          <w:b/>
          <w:bCs w:val="0"/>
          <w:color w:val="auto"/>
          <w:sz w:val="21"/>
          <w:szCs w:val="21"/>
          <w:highlight w:val="none"/>
        </w:rPr>
        <w:t>项目名称：</w:t>
      </w:r>
      <w:r>
        <w:rPr>
          <w:rFonts w:hint="eastAsia" w:ascii="宋体" w:hAnsi="宋体"/>
          <w:b/>
          <w:bCs w:val="0"/>
          <w:color w:val="auto"/>
          <w:sz w:val="21"/>
          <w:szCs w:val="21"/>
          <w:highlight w:val="none"/>
          <w:lang w:eastAsia="zh-CN"/>
        </w:rPr>
        <w:t>椰林海鲜码头产业园项目第三方检测监测服务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 xml:space="preserve">三、项目内容及需求： </w:t>
      </w:r>
    </w:p>
    <w:p>
      <w:pPr>
        <w:pStyle w:val="6"/>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lang w:eastAsia="zh-CN"/>
        </w:rPr>
        <w:t>项目</w:t>
      </w:r>
      <w:r>
        <w:rPr>
          <w:rFonts w:hint="eastAsia" w:ascii="宋体" w:hAnsi="宋体" w:eastAsia="宋体" w:cs="Times New Roman"/>
          <w:b/>
          <w:bCs/>
          <w:color w:val="auto"/>
          <w:sz w:val="21"/>
          <w:szCs w:val="21"/>
          <w:highlight w:val="none"/>
          <w:lang w:val="en-US" w:eastAsia="zh-CN"/>
        </w:rPr>
        <w:t>概况</w:t>
      </w:r>
      <w:r>
        <w:rPr>
          <w:rFonts w:hint="eastAsia" w:ascii="宋体" w:hAnsi="宋体" w:eastAsia="宋体" w:cs="Times New Roman"/>
          <w:color w:val="auto"/>
          <w:sz w:val="21"/>
          <w:szCs w:val="21"/>
          <w:highlight w:val="none"/>
          <w:lang w:val="en-US" w:eastAsia="zh-CN"/>
        </w:rPr>
        <w:t>：建筑面积81000平方米，占地面积20018.31平方米。项目拟建 1 幢 7 层厂房，最大高度约 58.5m。</w:t>
      </w:r>
    </w:p>
    <w:p>
      <w:pPr>
        <w:pStyle w:val="6"/>
        <w:numPr>
          <w:ilvl w:val="0"/>
          <w:numId w:val="0"/>
        </w:numPr>
        <w:ind w:firstLine="422" w:firstLineChars="200"/>
        <w:rPr>
          <w:rFonts w:hint="eastAsia" w:ascii="宋体" w:hAnsi="Times New Roman" w:eastAsia="宋体" w:cs="Times New Roman"/>
          <w:b/>
          <w:bCs w:val="0"/>
          <w:color w:val="auto"/>
          <w:sz w:val="21"/>
          <w:szCs w:val="21"/>
          <w:highlight w:val="none"/>
          <w:lang w:val="en-US" w:eastAsia="zh-CN"/>
        </w:rPr>
      </w:pPr>
      <w:r>
        <w:rPr>
          <w:rFonts w:hint="eastAsia" w:ascii="宋体" w:hAnsi="宋体" w:eastAsia="宋体" w:cs="宋体"/>
          <w:b/>
          <w:color w:val="auto"/>
          <w:kern w:val="0"/>
          <w:sz w:val="21"/>
          <w:szCs w:val="21"/>
          <w:lang w:val="en-US" w:eastAsia="zh-CN"/>
        </w:rPr>
        <w:t>2.项目需求及最高投标单价限价：</w:t>
      </w:r>
    </w:p>
    <w:tbl>
      <w:tblPr>
        <w:tblStyle w:val="23"/>
        <w:tblW w:w="9887"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729"/>
        <w:gridCol w:w="2086"/>
        <w:gridCol w:w="1419"/>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58"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729"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招标标的</w:t>
            </w:r>
          </w:p>
        </w:tc>
        <w:tc>
          <w:tcPr>
            <w:tcW w:w="2086" w:type="dxa"/>
            <w:vMerge w:val="restart"/>
            <w:shd w:val="clear" w:color="auto" w:fill="EBEAE0"/>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检测类型</w:t>
            </w:r>
            <w:r>
              <w:rPr>
                <w:rFonts w:hint="eastAsia" w:ascii="宋体" w:hAnsi="宋体" w:cs="宋体"/>
                <w:color w:val="auto"/>
                <w:highlight w:val="none"/>
                <w:lang w:val="en-US" w:eastAsia="zh-CN"/>
              </w:rPr>
              <w:t>、项目、内容</w:t>
            </w:r>
          </w:p>
        </w:tc>
        <w:tc>
          <w:tcPr>
            <w:tcW w:w="1419"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highlight w:val="none"/>
                <w:lang w:val="en-US" w:eastAsia="zh-CN"/>
              </w:rPr>
              <w:t>最高投标单价限价</w:t>
            </w:r>
          </w:p>
        </w:tc>
        <w:tc>
          <w:tcPr>
            <w:tcW w:w="4295"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8" w:type="dxa"/>
            <w:vMerge w:val="continue"/>
            <w:shd w:val="clear" w:color="auto" w:fill="EBEAE0"/>
            <w:noWrap w:val="0"/>
            <w:vAlign w:val="center"/>
          </w:tcPr>
          <w:p>
            <w:pPr>
              <w:jc w:val="center"/>
              <w:rPr>
                <w:rFonts w:hint="eastAsia" w:ascii="宋体" w:hAnsi="宋体" w:eastAsia="宋体" w:cs="宋体"/>
                <w:color w:val="auto"/>
              </w:rPr>
            </w:pPr>
          </w:p>
        </w:tc>
        <w:tc>
          <w:tcPr>
            <w:tcW w:w="1729" w:type="dxa"/>
            <w:vMerge w:val="continue"/>
            <w:shd w:val="clear" w:color="auto" w:fill="EBEAE0"/>
            <w:noWrap w:val="0"/>
            <w:vAlign w:val="center"/>
          </w:tcPr>
          <w:p>
            <w:pPr>
              <w:jc w:val="center"/>
              <w:rPr>
                <w:rFonts w:hint="eastAsia" w:ascii="宋体" w:hAnsi="宋体" w:eastAsia="宋体" w:cs="宋体"/>
                <w:color w:val="auto"/>
              </w:rPr>
            </w:pPr>
          </w:p>
        </w:tc>
        <w:tc>
          <w:tcPr>
            <w:tcW w:w="2086" w:type="dxa"/>
            <w:vMerge w:val="continue"/>
            <w:shd w:val="clear" w:color="auto" w:fill="EBEAE0"/>
            <w:noWrap w:val="0"/>
            <w:vAlign w:val="center"/>
          </w:tcPr>
          <w:p>
            <w:pPr>
              <w:jc w:val="center"/>
              <w:rPr>
                <w:rFonts w:hint="eastAsia" w:ascii="宋体" w:hAnsi="宋体" w:eastAsia="宋体" w:cs="宋体"/>
                <w:color w:val="auto"/>
              </w:rPr>
            </w:pPr>
          </w:p>
        </w:tc>
        <w:tc>
          <w:tcPr>
            <w:tcW w:w="1419"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c>
          <w:tcPr>
            <w:tcW w:w="4295"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8" w:type="dxa"/>
            <w:vMerge w:val="restart"/>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729"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第三方检测</w:t>
            </w: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监测</w:t>
            </w: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服务</w:t>
            </w:r>
          </w:p>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2086" w:type="dxa"/>
            <w:vMerge w:val="restart"/>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cs="宋体"/>
                <w:color w:val="auto"/>
                <w:kern w:val="0"/>
                <w:sz w:val="21"/>
                <w:szCs w:val="21"/>
              </w:rPr>
              <w:t>详见招标文件</w:t>
            </w:r>
            <w:r>
              <w:rPr>
                <w:rFonts w:hint="eastAsia" w:ascii="宋体" w:hAnsi="宋体"/>
                <w:color w:val="auto"/>
                <w:sz w:val="21"/>
                <w:szCs w:val="21"/>
              </w:rPr>
              <w:t>第</w:t>
            </w:r>
            <w:r>
              <w:rPr>
                <w:rFonts w:hint="eastAsia" w:ascii="宋体" w:hAnsi="宋体"/>
                <w:color w:val="auto"/>
                <w:sz w:val="21"/>
                <w:szCs w:val="21"/>
                <w:lang w:val="en-US" w:eastAsia="zh-CN"/>
              </w:rPr>
              <w:t>七</w:t>
            </w:r>
            <w:r>
              <w:rPr>
                <w:rFonts w:hint="eastAsia" w:ascii="宋体" w:hAnsi="宋体"/>
                <w:color w:val="auto"/>
                <w:sz w:val="21"/>
                <w:szCs w:val="21"/>
              </w:rPr>
              <w:t>章</w:t>
            </w:r>
            <w:r>
              <w:rPr>
                <w:rFonts w:hint="eastAsia" w:ascii="宋体" w:hAnsi="宋体"/>
                <w:color w:val="auto"/>
                <w:sz w:val="21"/>
                <w:szCs w:val="21"/>
                <w:lang w:val="en-US" w:eastAsia="zh-CN"/>
              </w:rPr>
              <w:t>工程量清单及招标控制价</w:t>
            </w:r>
          </w:p>
        </w:tc>
        <w:tc>
          <w:tcPr>
            <w:tcW w:w="1419" w:type="dxa"/>
            <w:vMerge w:val="restart"/>
            <w:noWrap w:val="0"/>
            <w:vAlign w:val="center"/>
          </w:tcPr>
          <w:p>
            <w:pPr>
              <w:pStyle w:val="21"/>
              <w:ind w:left="0" w:leftChars="0" w:firstLine="0" w:firstLineChars="0"/>
              <w:jc w:val="center"/>
              <w:rPr>
                <w:rFonts w:hint="eastAsia" w:eastAsia="宋体"/>
                <w:color w:val="auto"/>
                <w:lang w:val="en-US" w:eastAsia="zh-CN"/>
              </w:rPr>
            </w:pPr>
            <w:r>
              <w:rPr>
                <w:rFonts w:hint="eastAsia" w:ascii="宋体" w:hAnsi="宋体" w:cs="宋体"/>
                <w:color w:val="auto"/>
                <w:kern w:val="0"/>
                <w:sz w:val="21"/>
                <w:szCs w:val="21"/>
              </w:rPr>
              <w:t>详见招标文件</w:t>
            </w:r>
            <w:r>
              <w:rPr>
                <w:rFonts w:hint="eastAsia" w:ascii="宋体" w:hAnsi="宋体"/>
                <w:color w:val="auto"/>
                <w:sz w:val="21"/>
                <w:szCs w:val="21"/>
              </w:rPr>
              <w:t>第</w:t>
            </w:r>
            <w:r>
              <w:rPr>
                <w:rFonts w:hint="eastAsia" w:ascii="宋体" w:hAnsi="宋体"/>
                <w:color w:val="auto"/>
                <w:sz w:val="21"/>
                <w:szCs w:val="21"/>
                <w:lang w:val="en-US" w:eastAsia="zh-CN"/>
              </w:rPr>
              <w:t>七</w:t>
            </w:r>
            <w:r>
              <w:rPr>
                <w:rFonts w:hint="eastAsia" w:ascii="宋体" w:hAnsi="宋体"/>
                <w:color w:val="auto"/>
                <w:sz w:val="21"/>
                <w:szCs w:val="21"/>
              </w:rPr>
              <w:t>章</w:t>
            </w:r>
            <w:r>
              <w:rPr>
                <w:rFonts w:hint="eastAsia" w:ascii="宋体" w:hAnsi="宋体"/>
                <w:color w:val="auto"/>
                <w:sz w:val="21"/>
                <w:szCs w:val="21"/>
                <w:lang w:val="en-US" w:eastAsia="zh-CN"/>
              </w:rPr>
              <w:t>工程量清单及招标控制价</w:t>
            </w:r>
          </w:p>
        </w:tc>
        <w:tc>
          <w:tcPr>
            <w:tcW w:w="4295" w:type="dxa"/>
            <w:vMerge w:val="restart"/>
            <w:noWrap w:val="0"/>
            <w:vAlign w:val="center"/>
          </w:tcPr>
          <w:p>
            <w:pPr>
              <w:jc w:val="both"/>
              <w:rPr>
                <w:rFonts w:hint="eastAsia"/>
                <w:color w:val="auto"/>
                <w:lang w:val="en-US" w:eastAsia="zh-CN"/>
              </w:rPr>
            </w:pPr>
            <w:r>
              <w:rPr>
                <w:rFonts w:hint="eastAsia"/>
                <w:color w:val="auto"/>
                <w:lang w:val="en-US" w:eastAsia="zh-CN"/>
              </w:rPr>
              <w:t>从中标通知书发出之日起至所有服务项目完成并通过竣工验收为止，服务周期必须满足实际施工要求，包括施工准备阶段及施工全过程及竣工验收后需完成的相关服务。具体按合同条款约定。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58" w:type="dxa"/>
            <w:vMerge w:val="continue"/>
            <w:noWrap w:val="0"/>
            <w:vAlign w:val="center"/>
          </w:tcPr>
          <w:p>
            <w:pPr>
              <w:jc w:val="center"/>
              <w:rPr>
                <w:rFonts w:hint="eastAsia" w:ascii="宋体" w:hAnsi="宋体" w:eastAsia="宋体" w:cs="宋体"/>
                <w:color w:val="auto"/>
              </w:rPr>
            </w:pPr>
          </w:p>
        </w:tc>
        <w:tc>
          <w:tcPr>
            <w:tcW w:w="1729" w:type="dxa"/>
            <w:vMerge w:val="continue"/>
            <w:noWrap w:val="0"/>
            <w:vAlign w:val="center"/>
          </w:tcPr>
          <w:p>
            <w:pPr>
              <w:jc w:val="center"/>
              <w:rPr>
                <w:rFonts w:hint="eastAsia" w:ascii="宋体" w:hAnsi="宋体" w:eastAsia="宋体" w:cs="宋体"/>
                <w:color w:val="auto"/>
              </w:rPr>
            </w:pPr>
          </w:p>
        </w:tc>
        <w:tc>
          <w:tcPr>
            <w:tcW w:w="2086" w:type="dxa"/>
            <w:vMerge w:val="continue"/>
            <w:noWrap w:val="0"/>
            <w:vAlign w:val="center"/>
          </w:tcPr>
          <w:p>
            <w:pPr>
              <w:jc w:val="center"/>
              <w:rPr>
                <w:rFonts w:hint="eastAsia" w:ascii="宋体" w:hAnsi="宋体" w:eastAsia="宋体" w:cs="宋体"/>
                <w:color w:val="auto"/>
              </w:rPr>
            </w:pPr>
          </w:p>
        </w:tc>
        <w:tc>
          <w:tcPr>
            <w:tcW w:w="1419"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c>
          <w:tcPr>
            <w:tcW w:w="4295" w:type="dxa"/>
            <w:vMerge w:val="continue"/>
            <w:noWrap w:val="0"/>
            <w:vAlign w:val="center"/>
          </w:tcPr>
          <w:p>
            <w:pPr>
              <w:jc w:val="center"/>
              <w:rPr>
                <w:rFonts w:hint="eastAsia" w:ascii="宋体" w:hAnsi="宋体" w:eastAsia="宋体" w:cs="宋体"/>
                <w:color w:val="auto"/>
                <w:kern w:val="0"/>
                <w:sz w:val="21"/>
                <w:szCs w:val="21"/>
                <w:highlight w:val="none"/>
                <w:u w:val="none"/>
                <w:lang w:val="en-US" w:eastAsia="zh-CN"/>
              </w:rPr>
            </w:pPr>
          </w:p>
        </w:tc>
      </w:tr>
    </w:tbl>
    <w:p>
      <w:pPr>
        <w:numPr>
          <w:ilvl w:val="0"/>
          <w:numId w:val="0"/>
        </w:numPr>
        <w:rPr>
          <w:rFonts w:hint="eastAsia"/>
          <w:color w:val="auto"/>
          <w:lang w:val="en-US" w:eastAsia="zh-CN"/>
        </w:rPr>
      </w:pPr>
    </w:p>
    <w:p>
      <w:pPr>
        <w:pStyle w:val="30"/>
        <w:widowControl w:val="0"/>
        <w:numPr>
          <w:ilvl w:val="0"/>
          <w:numId w:val="0"/>
        </w:numPr>
        <w:tabs>
          <w:tab w:val="left" w:pos="425"/>
        </w:tabs>
        <w:snapToGrid w:val="0"/>
        <w:spacing w:line="360" w:lineRule="auto"/>
        <w:jc w:val="both"/>
        <w:rPr>
          <w:rFonts w:ascii="宋体"/>
          <w:bCs/>
          <w:vanish/>
          <w:color w:val="auto"/>
          <w:sz w:val="21"/>
          <w:szCs w:val="21"/>
          <w:highlight w:val="none"/>
        </w:rPr>
      </w:pPr>
    </w:p>
    <w:p>
      <w:pPr>
        <w:pStyle w:val="30"/>
        <w:numPr>
          <w:ilvl w:val="0"/>
          <w:numId w:val="2"/>
        </w:numPr>
        <w:snapToGrid w:val="0"/>
        <w:spacing w:line="360" w:lineRule="auto"/>
        <w:ind w:firstLineChars="0"/>
        <w:rPr>
          <w:rFonts w:ascii="宋体"/>
          <w:bCs/>
          <w:vanish/>
          <w:color w:val="auto"/>
          <w:sz w:val="21"/>
          <w:szCs w:val="21"/>
          <w:highlight w:val="none"/>
        </w:rPr>
      </w:pPr>
    </w:p>
    <w:p>
      <w:pPr>
        <w:pStyle w:val="30"/>
        <w:numPr>
          <w:ilvl w:val="0"/>
          <w:numId w:val="2"/>
        </w:numPr>
        <w:snapToGrid w:val="0"/>
        <w:spacing w:line="360" w:lineRule="auto"/>
        <w:ind w:firstLineChars="0"/>
        <w:rPr>
          <w:rFonts w:ascii="宋体"/>
          <w:bCs/>
          <w:vanish/>
          <w:color w:val="auto"/>
          <w:sz w:val="21"/>
          <w:szCs w:val="21"/>
          <w:highlight w:val="none"/>
        </w:rPr>
      </w:pPr>
    </w:p>
    <w:p>
      <w:pPr>
        <w:pStyle w:val="30"/>
        <w:numPr>
          <w:ilvl w:val="0"/>
          <w:numId w:val="2"/>
        </w:numPr>
        <w:snapToGrid w:val="0"/>
        <w:spacing w:line="360" w:lineRule="auto"/>
        <w:ind w:firstLineChars="0"/>
        <w:rPr>
          <w:rFonts w:ascii="宋体"/>
          <w:bCs/>
          <w:vanish/>
          <w:color w:val="auto"/>
          <w:sz w:val="21"/>
          <w:szCs w:val="21"/>
          <w:highlight w:val="none"/>
        </w:rPr>
      </w:pPr>
    </w:p>
    <w:p>
      <w:pPr>
        <w:pStyle w:val="30"/>
        <w:numPr>
          <w:ilvl w:val="0"/>
          <w:numId w:val="2"/>
        </w:numPr>
        <w:snapToGrid w:val="0"/>
        <w:spacing w:line="360" w:lineRule="auto"/>
        <w:ind w:firstLineChars="0"/>
        <w:rPr>
          <w:rFonts w:asci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注：1</w:t>
      </w:r>
      <w:r>
        <w:rPr>
          <w:rFonts w:hint="eastAsia" w:ascii="宋体" w:hAnsi="宋体" w:cs="宋体"/>
          <w:bCs/>
          <w:color w:val="auto"/>
          <w:szCs w:val="20"/>
          <w:highlight w:val="none"/>
          <w:lang w:val="en-US" w:eastAsia="zh-CN"/>
        </w:rPr>
        <w:t>.</w:t>
      </w:r>
      <w:r>
        <w:rPr>
          <w:rFonts w:hint="eastAsia" w:ascii="宋体" w:hAnsi="宋体" w:eastAsia="宋体" w:cs="宋体"/>
          <w:bCs/>
          <w:color w:val="auto"/>
          <w:szCs w:val="20"/>
          <w:highlight w:val="none"/>
          <w:lang w:val="en-US" w:eastAsia="zh-CN"/>
        </w:rPr>
        <w:t>上表中“最高单价限价”为综合单价包干。</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u w:val="single"/>
          <w:lang w:val="en-US" w:eastAsia="zh-CN"/>
        </w:rPr>
      </w:pPr>
      <w:r>
        <w:rPr>
          <w:rFonts w:hint="eastAsia" w:ascii="宋体" w:hAnsi="宋体" w:eastAsia="宋体" w:cs="宋体"/>
          <w:bCs/>
          <w:color w:val="auto"/>
          <w:szCs w:val="20"/>
          <w:highlight w:val="none"/>
          <w:lang w:val="en-US" w:eastAsia="zh-CN"/>
        </w:rPr>
        <w:t>2.综合单价包干（含</w:t>
      </w:r>
      <w:r>
        <w:rPr>
          <w:rFonts w:hint="eastAsia" w:ascii="宋体" w:hAnsi="宋体" w:cs="宋体"/>
          <w:bCs/>
          <w:color w:val="auto"/>
          <w:szCs w:val="20"/>
          <w:highlight w:val="none"/>
          <w:lang w:val="en-US" w:eastAsia="zh-CN"/>
        </w:rPr>
        <w:t>6</w:t>
      </w:r>
      <w:r>
        <w:rPr>
          <w:rFonts w:hint="eastAsia" w:ascii="宋体" w:hAnsi="宋体" w:eastAsia="宋体" w:cs="宋体"/>
          <w:bCs/>
          <w:color w:val="auto"/>
          <w:szCs w:val="20"/>
          <w:highlight w:val="none"/>
          <w:lang w:val="en-US" w:eastAsia="zh-CN"/>
        </w:rPr>
        <w:t>%增值税），工程量按实际计算，并以现场实际工作量确认签证为准，</w:t>
      </w:r>
      <w:r>
        <w:rPr>
          <w:rFonts w:hint="eastAsia" w:ascii="宋体" w:hAnsi="宋体" w:cs="宋体"/>
          <w:bCs/>
          <w:color w:val="auto"/>
          <w:szCs w:val="20"/>
          <w:highlight w:val="none"/>
          <w:lang w:val="en-US" w:eastAsia="zh-CN"/>
        </w:rPr>
        <w:t>结算价</w:t>
      </w:r>
      <w:r>
        <w:rPr>
          <w:rFonts w:hint="eastAsia" w:ascii="宋体" w:hAnsi="宋体" w:cs="宋体"/>
          <w:bCs/>
          <w:color w:val="auto"/>
          <w:szCs w:val="20"/>
          <w:highlight w:val="none"/>
          <w:u w:val="none"/>
          <w:lang w:val="en-US" w:eastAsia="zh-CN"/>
        </w:rPr>
        <w:t>=</w:t>
      </w:r>
      <w:r>
        <w:rPr>
          <w:rFonts w:hint="eastAsia" w:ascii="宋体" w:hAnsi="宋体" w:eastAsia="宋体" w:cs="宋体"/>
          <w:bCs/>
          <w:color w:val="auto"/>
          <w:szCs w:val="20"/>
          <w:highlight w:val="none"/>
          <w:u w:val="none"/>
          <w:lang w:val="en-US" w:eastAsia="zh-CN"/>
        </w:rPr>
        <w:t>实际</w:t>
      </w:r>
      <w:r>
        <w:rPr>
          <w:rFonts w:hint="eastAsia" w:ascii="宋体" w:hAnsi="宋体" w:cs="宋体"/>
          <w:bCs/>
          <w:color w:val="auto"/>
          <w:szCs w:val="20"/>
          <w:highlight w:val="none"/>
          <w:u w:val="none"/>
          <w:lang w:val="en-US" w:eastAsia="zh-CN"/>
        </w:rPr>
        <w:t>工程</w:t>
      </w:r>
      <w:r>
        <w:rPr>
          <w:rFonts w:hint="eastAsia" w:ascii="宋体" w:hAnsi="宋体" w:eastAsia="宋体" w:cs="宋体"/>
          <w:bCs/>
          <w:color w:val="auto"/>
          <w:szCs w:val="20"/>
          <w:highlight w:val="none"/>
          <w:u w:val="none"/>
          <w:lang w:val="en-US" w:eastAsia="zh-CN"/>
        </w:rPr>
        <w:t>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w:t>
      </w:r>
      <w:r>
        <w:rPr>
          <w:rFonts w:hint="eastAsia" w:ascii="宋体" w:hAnsi="宋体" w:eastAsia="宋体" w:cs="宋体"/>
          <w:b w:val="0"/>
          <w:bCs w:val="0"/>
          <w:color w:val="auto"/>
          <w:szCs w:val="20"/>
          <w:highlight w:val="none"/>
          <w:lang w:val="en-US" w:eastAsia="zh-CN"/>
        </w:rPr>
        <w:t>最高单价限价×（1-中标下浮率%）</w:t>
      </w:r>
      <w:r>
        <w:rPr>
          <w:rFonts w:hint="eastAsia" w:ascii="宋体" w:hAnsi="宋体" w:eastAsia="宋体" w:cs="宋体"/>
          <w:bCs/>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cs="宋体"/>
          <w:bCs/>
          <w:color w:val="auto"/>
          <w:szCs w:val="20"/>
          <w:highlight w:val="none"/>
          <w:lang w:val="en-US" w:eastAsia="zh-CN"/>
        </w:rPr>
        <w:t>3.</w:t>
      </w:r>
      <w:r>
        <w:rPr>
          <w:rFonts w:hint="eastAsia" w:ascii="宋体" w:hAnsi="宋体" w:eastAsia="宋体" w:cs="宋体"/>
          <w:bCs/>
          <w:color w:val="auto"/>
          <w:szCs w:val="20"/>
          <w:highlight w:val="none"/>
          <w:lang w:val="en-US" w:eastAsia="zh-CN"/>
        </w:rPr>
        <w:t>数量</w:t>
      </w:r>
      <w:r>
        <w:rPr>
          <w:rFonts w:hint="eastAsia" w:ascii="宋体" w:hAnsi="宋体" w:cs="宋体"/>
          <w:bCs/>
          <w:color w:val="auto"/>
          <w:szCs w:val="20"/>
          <w:highlight w:val="none"/>
          <w:lang w:val="en-US" w:eastAsia="zh-CN"/>
        </w:rPr>
        <w:t>按项目需求按实计量</w:t>
      </w:r>
      <w:r>
        <w:rPr>
          <w:rFonts w:hint="eastAsia" w:ascii="宋体" w:hAnsi="宋体" w:eastAsia="宋体" w:cs="宋体"/>
          <w:bCs/>
          <w:color w:val="auto"/>
          <w:szCs w:val="20"/>
          <w:highlight w:val="none"/>
          <w:lang w:val="en-US" w:eastAsia="zh-CN"/>
        </w:rPr>
        <w:t>，报价要求详见招标文件第二章“</w:t>
      </w:r>
      <w:r>
        <w:rPr>
          <w:rFonts w:hint="eastAsia" w:ascii="宋体" w:hAnsi="宋体" w:cs="宋体"/>
          <w:bCs/>
          <w:color w:val="auto"/>
          <w:szCs w:val="20"/>
          <w:highlight w:val="none"/>
          <w:lang w:val="en-US" w:eastAsia="zh-CN"/>
        </w:rPr>
        <w:t>投标报价要求</w:t>
      </w:r>
      <w:r>
        <w:rPr>
          <w:rFonts w:hint="eastAsia" w:ascii="宋体" w:hAnsi="宋体" w:eastAsia="宋体" w:cs="宋体"/>
          <w:bCs/>
          <w:color w:val="auto"/>
          <w:szCs w:val="20"/>
          <w:highlight w:val="none"/>
          <w:lang w:val="en-US" w:eastAsia="zh-CN"/>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b w:val="0"/>
          <w:bCs/>
          <w:color w:val="auto"/>
          <w:sz w:val="21"/>
          <w:szCs w:val="21"/>
          <w:highlight w:val="none"/>
          <w:lang w:eastAsia="zh-CN"/>
        </w:rPr>
      </w:pPr>
      <w:r>
        <w:rPr>
          <w:rFonts w:hint="eastAsia" w:ascii="宋体"/>
          <w:b/>
          <w:bCs w:val="0"/>
          <w:color w:val="auto"/>
          <w:sz w:val="21"/>
          <w:szCs w:val="21"/>
          <w:highlight w:val="none"/>
          <w:lang w:eastAsia="zh-CN"/>
        </w:rPr>
        <w:t>四、服务范围：</w:t>
      </w:r>
      <w:r>
        <w:rPr>
          <w:rFonts w:hint="eastAsia" w:ascii="宋体"/>
          <w:b w:val="0"/>
          <w:bCs/>
          <w:color w:val="auto"/>
          <w:sz w:val="21"/>
          <w:szCs w:val="21"/>
          <w:highlight w:val="none"/>
          <w:lang w:val="en-US" w:eastAsia="zh-CN"/>
        </w:rPr>
        <w:t>包括但不限于高大支模变形监测</w:t>
      </w:r>
      <w:r>
        <w:rPr>
          <w:rFonts w:hint="eastAsia" w:ascii="宋体"/>
          <w:b w:val="0"/>
          <w:bCs/>
          <w:color w:val="auto"/>
          <w:sz w:val="21"/>
          <w:szCs w:val="21"/>
          <w:highlight w:val="none"/>
          <w:lang w:eastAsia="zh-CN"/>
        </w:rPr>
        <w:t>、地基</w:t>
      </w:r>
      <w:r>
        <w:rPr>
          <w:rFonts w:hint="eastAsia" w:ascii="宋体"/>
          <w:b w:val="0"/>
          <w:bCs/>
          <w:color w:val="auto"/>
          <w:sz w:val="21"/>
          <w:szCs w:val="21"/>
          <w:highlight w:val="none"/>
          <w:lang w:val="en-US" w:eastAsia="zh-CN"/>
        </w:rPr>
        <w:t>基础</w:t>
      </w:r>
      <w:r>
        <w:rPr>
          <w:rFonts w:hint="eastAsia" w:ascii="宋体"/>
          <w:b w:val="0"/>
          <w:bCs/>
          <w:color w:val="auto"/>
          <w:sz w:val="21"/>
          <w:szCs w:val="21"/>
          <w:highlight w:val="none"/>
          <w:lang w:eastAsia="zh-CN"/>
        </w:rPr>
        <w:t>检测、结构</w:t>
      </w:r>
      <w:r>
        <w:rPr>
          <w:rFonts w:hint="eastAsia" w:ascii="宋体"/>
          <w:b w:val="0"/>
          <w:bCs/>
          <w:color w:val="auto"/>
          <w:sz w:val="21"/>
          <w:szCs w:val="21"/>
          <w:highlight w:val="none"/>
          <w:lang w:val="en-US" w:eastAsia="zh-CN"/>
        </w:rPr>
        <w:t>主体</w:t>
      </w:r>
      <w:r>
        <w:rPr>
          <w:rFonts w:hint="eastAsia" w:ascii="宋体"/>
          <w:b w:val="0"/>
          <w:bCs/>
          <w:color w:val="auto"/>
          <w:sz w:val="21"/>
          <w:szCs w:val="21"/>
          <w:highlight w:val="none"/>
          <w:lang w:eastAsia="zh-CN"/>
        </w:rPr>
        <w:t>检测、</w:t>
      </w:r>
      <w:r>
        <w:rPr>
          <w:rFonts w:hint="eastAsia" w:ascii="宋体"/>
          <w:b w:val="0"/>
          <w:bCs/>
          <w:color w:val="auto"/>
          <w:sz w:val="21"/>
          <w:szCs w:val="21"/>
          <w:highlight w:val="none"/>
          <w:lang w:val="en-US" w:eastAsia="zh-CN"/>
        </w:rPr>
        <w:t>现场见证取样（现场材料进场检验检测）、建筑节能工程检测、幕墙门窗工程检测</w:t>
      </w:r>
      <w:r>
        <w:rPr>
          <w:rFonts w:hint="eastAsia" w:ascii="宋体"/>
          <w:b w:val="0"/>
          <w:bCs/>
          <w:color w:val="auto"/>
          <w:sz w:val="21"/>
          <w:szCs w:val="21"/>
          <w:highlight w:val="none"/>
          <w:lang w:eastAsia="zh-CN"/>
        </w:rPr>
        <w:t>、防雷检测、钢结构检测、</w:t>
      </w:r>
      <w:r>
        <w:rPr>
          <w:rFonts w:hint="eastAsia" w:ascii="宋体"/>
          <w:b w:val="0"/>
          <w:bCs/>
          <w:color w:val="auto"/>
          <w:sz w:val="21"/>
          <w:szCs w:val="21"/>
          <w:highlight w:val="none"/>
          <w:lang w:val="en-US" w:eastAsia="zh-CN"/>
        </w:rPr>
        <w:t>柴油发电机性能检测、海绵城市建设评估配套检测</w:t>
      </w:r>
      <w:r>
        <w:rPr>
          <w:rFonts w:hint="eastAsia" w:ascii="宋体"/>
          <w:b w:val="0"/>
          <w:bCs/>
          <w:color w:val="auto"/>
          <w:sz w:val="21"/>
          <w:szCs w:val="21"/>
          <w:highlight w:val="none"/>
          <w:lang w:eastAsia="zh-CN"/>
        </w:rPr>
        <w:t>等施工及验收阶段相关的</w:t>
      </w:r>
      <w:r>
        <w:rPr>
          <w:rFonts w:hint="eastAsia" w:ascii="宋体"/>
          <w:b w:val="0"/>
          <w:bCs/>
          <w:color w:val="auto"/>
          <w:sz w:val="21"/>
          <w:szCs w:val="21"/>
          <w:highlight w:val="none"/>
          <w:lang w:val="en-US" w:eastAsia="zh-CN"/>
        </w:rPr>
        <w:t>所有</w:t>
      </w:r>
      <w:r>
        <w:rPr>
          <w:rFonts w:hint="eastAsia" w:ascii="宋体"/>
          <w:b w:val="0"/>
          <w:bCs/>
          <w:color w:val="auto"/>
          <w:sz w:val="21"/>
          <w:szCs w:val="21"/>
          <w:highlight w:val="none"/>
          <w:lang w:eastAsia="zh-CN"/>
        </w:rPr>
        <w:t>第三方检测及监测项目，并提供合格的检测/监测报告。具体工程量以</w:t>
      </w:r>
      <w:r>
        <w:rPr>
          <w:rFonts w:hint="eastAsia" w:ascii="宋体"/>
          <w:b w:val="0"/>
          <w:bCs/>
          <w:color w:val="auto"/>
          <w:sz w:val="21"/>
          <w:szCs w:val="21"/>
          <w:highlight w:val="none"/>
          <w:lang w:val="en-US" w:eastAsia="zh-CN"/>
        </w:rPr>
        <w:t>工程量清单</w:t>
      </w:r>
      <w:r>
        <w:rPr>
          <w:rFonts w:hint="eastAsia" w:ascii="宋体"/>
          <w:b w:val="0"/>
          <w:bCs/>
          <w:color w:val="auto"/>
          <w:sz w:val="21"/>
          <w:szCs w:val="21"/>
          <w:highlight w:val="none"/>
          <w:lang w:eastAsia="zh-CN"/>
        </w:rPr>
        <w:t>、设计图纸及有关规范要求、</w:t>
      </w:r>
      <w:r>
        <w:rPr>
          <w:rFonts w:hint="eastAsia" w:ascii="宋体"/>
          <w:b w:val="0"/>
          <w:bCs/>
          <w:color w:val="auto"/>
          <w:sz w:val="21"/>
          <w:szCs w:val="21"/>
          <w:highlight w:val="none"/>
          <w:lang w:val="en-US" w:eastAsia="zh-CN"/>
        </w:rPr>
        <w:t>经审批的检测/监测方案、具体实施成果</w:t>
      </w:r>
      <w:r>
        <w:rPr>
          <w:rFonts w:hint="eastAsia" w:ascii="宋体"/>
          <w:b w:val="0"/>
          <w:bCs/>
          <w:color w:val="auto"/>
          <w:sz w:val="21"/>
          <w:szCs w:val="21"/>
          <w:highlight w:val="none"/>
          <w:lang w:eastAsia="zh-CN"/>
        </w:rPr>
        <w:t>为准。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服务范围除以上工作内容外，还包括但不限于以下工作：</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（1）具体工程量以</w:t>
      </w:r>
      <w:r>
        <w:rPr>
          <w:rFonts w:hint="eastAsia" w:ascii="宋体"/>
          <w:b w:val="0"/>
          <w:bCs/>
          <w:color w:val="auto"/>
          <w:sz w:val="21"/>
          <w:szCs w:val="21"/>
          <w:highlight w:val="none"/>
          <w:lang w:val="en-US" w:eastAsia="zh-CN"/>
        </w:rPr>
        <w:t>工程量清单</w:t>
      </w:r>
      <w:r>
        <w:rPr>
          <w:rFonts w:hint="eastAsia" w:ascii="宋体"/>
          <w:b w:val="0"/>
          <w:bCs/>
          <w:color w:val="auto"/>
          <w:sz w:val="21"/>
          <w:szCs w:val="21"/>
          <w:highlight w:val="none"/>
          <w:lang w:eastAsia="zh-CN"/>
        </w:rPr>
        <w:t>、设计图纸及有关规范要求、经审批的检测/监测方案、具体实施成果为准。检测/监测工作须满足工程建设实际需要及质量要求。</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2）根据设计文件、施工组织设计、相关规范和相关行政职能部门及招标人要求，结合项目实际情况，编制检测/监测方案，并确保检测/监测方案符合有关规范要求及通过工程所在行政区域的相关建设行政主管部门和监督部门的审批，同时负责协调相关工作，申报检测/监测技术成果的审批，保证技术成果能够通过相关部门认可，确保不因检测/监测工作影响本工程项目的建设进度和竣工验收，由此发生的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（3）在进行检测/监测服务过程中，与该工程相关的施工、监理、设计、咨询、代建、业主等相关单位及建设行政主管部门和监督部门协调工作，由此发生的费用由投标人在投标报价中综合考虑，不再另外计取。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（4）本检测/监测项目已包含监督抽检的工作内容，监督抽检数量按建设行政主管部门要求实施，由此发生的费用由投标人在投标报价中综合考虑，不再另外计取。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5）检测/监测数据的有关信息（包括但不限于：合同、计划、方案等）须按当地政府规定上传至广州市建设工程质量检测监管平台及其它政府指定的信息管理系统（如有），根据《广州市城乡建设委员会关于启用地下工程及深基坑安全监测信息管理系统的通知》《广州市住房和城乡建设委员会关于启用高大模板实时监测管理平台的通知》要求，需做好信息化管理工作（含电子数据上传）确保不因传输报送工作影响本工程项目的建设进度和竣工验收，由此发生的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6）用于完成本项目检测/监测的仪器、设备和材料由中标人自行配备、运输、存管。仪器、设备和材料应有产品出厂合格证、检定/校准证书等合格证明，同时符合相关技术标准和检定要求，该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7）中标人提交的检测/监测报告在招标人项目实施竣工验收备案时发现因中标人原因有遗漏或错误或需补充提供的，中标人应无条件进行补充或修订直至完成竣工验收备案相应工作，由此发生的费用由投标人在投标报价中综合考虑，不再另外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（8）监测后，监测数据报警或由于其他客观情况需要，招标人要求中标人进行复检时，中标人应负责进行监测，由此发生的费用由投标人在投标报价中综合考虑，不再另行计取。</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（9）中标人应向招标人提供非驻场式的技术咨询、支持服务，包括参加本项目相关会议、安排技术人员到现场解决相关问题等服务，人员办公住宿等由中标人自行负责。</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b w:val="0"/>
          <w:bCs/>
          <w:color w:val="auto"/>
          <w:sz w:val="21"/>
          <w:szCs w:val="21"/>
          <w:highlight w:val="none"/>
          <w:lang w:eastAsia="zh-CN"/>
        </w:rPr>
      </w:pPr>
      <w:r>
        <w:rPr>
          <w:rFonts w:hint="eastAsia" w:ascii="宋体"/>
          <w:b w:val="0"/>
          <w:bCs/>
          <w:color w:val="auto"/>
          <w:sz w:val="21"/>
          <w:szCs w:val="21"/>
          <w:highlight w:val="none"/>
          <w:lang w:eastAsia="zh-CN"/>
        </w:rPr>
        <w:t>（10）乙方检测监测资质不能涵盖的项目，报甲方书面同意后可依法进行分包，由乙方委托具有相应资质的单位进行检测监测。</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0" w:leftChars="0" w:firstLine="402" w:firstLineChars="200"/>
        <w:textAlignment w:val="auto"/>
        <w:rPr>
          <w:rFonts w:ascii="宋体"/>
          <w:b/>
          <w:bCs w:val="0"/>
          <w:color w:val="auto"/>
          <w:sz w:val="21"/>
          <w:szCs w:val="21"/>
          <w:highlight w:val="none"/>
        </w:rPr>
      </w:pPr>
      <w:r>
        <w:rPr>
          <w:rFonts w:hint="eastAsia" w:ascii="宋体" w:hAnsi="宋体" w:cs="宋体"/>
          <w:b/>
          <w:bCs/>
          <w:color w:val="auto"/>
          <w:sz w:val="20"/>
          <w:szCs w:val="20"/>
          <w:lang w:val="en-US" w:eastAsia="zh-CN"/>
        </w:rPr>
        <w:t>五、</w:t>
      </w:r>
      <w:r>
        <w:rPr>
          <w:rFonts w:ascii="宋体" w:hAnsi="宋体" w:eastAsia="宋体" w:cs="宋体"/>
          <w:b/>
          <w:bCs/>
          <w:color w:val="auto"/>
          <w:sz w:val="20"/>
          <w:szCs w:val="20"/>
        </w:rPr>
        <w:t>投标单位资格要求</w:t>
      </w:r>
      <w:r>
        <w:rPr>
          <w:rFonts w:hint="eastAsia" w:ascii="宋体"/>
          <w:b/>
          <w:bCs w:val="0"/>
          <w:color w:val="auto"/>
          <w:sz w:val="21"/>
          <w:szCs w:val="21"/>
          <w:highlight w:val="none"/>
        </w:rPr>
        <w:t>：</w:t>
      </w: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pStyle w:val="30"/>
        <w:keepNext w:val="0"/>
        <w:keepLines w:val="0"/>
        <w:pageBreakBefore w:val="0"/>
        <w:widowControl w:val="0"/>
        <w:numPr>
          <w:ilvl w:val="0"/>
          <w:numId w:val="3"/>
        </w:numPr>
        <w:tabs>
          <w:tab w:val="left" w:pos="567"/>
        </w:tabs>
        <w:kinsoku/>
        <w:wordWrap/>
        <w:overflowPunct/>
        <w:topLinePunct w:val="0"/>
        <w:autoSpaceDE/>
        <w:autoSpaceDN/>
        <w:bidi w:val="0"/>
        <w:snapToGrid w:val="0"/>
        <w:spacing w:line="360" w:lineRule="auto"/>
        <w:ind w:left="0" w:firstLine="420" w:firstLineChars="200"/>
        <w:textAlignment w:val="auto"/>
        <w:rPr>
          <w:rFonts w:ascii="宋体" w:hAnsi="宋体"/>
          <w:bCs/>
          <w:vanish/>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5.1具有独立法人资格，持有工商行政管理部门核发的法人营业执照，按国家法律经营；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5.2投标人需同时具备检测及监测资质：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（1）投标人</w:t>
      </w:r>
      <w:r>
        <w:rPr>
          <w:rFonts w:hint="eastAsia" w:ascii="宋体" w:hAnsi="宋体" w:cs="宋体"/>
          <w:b/>
          <w:bCs w:val="0"/>
          <w:color w:val="auto"/>
          <w:szCs w:val="20"/>
          <w:highlight w:val="none"/>
          <w:lang w:val="en-US" w:eastAsia="zh-CN"/>
        </w:rPr>
        <w:t>（检测任务）</w:t>
      </w:r>
      <w:r>
        <w:rPr>
          <w:rFonts w:hint="eastAsia" w:ascii="宋体" w:hAnsi="宋体" w:cs="宋体"/>
          <w:bCs/>
          <w:color w:val="auto"/>
          <w:szCs w:val="20"/>
          <w:highlight w:val="none"/>
          <w:lang w:val="en-US" w:eastAsia="zh-CN"/>
        </w:rPr>
        <w:t>须具备以下资质（①或②或③）：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①具备建设行政主管部门颁发的建设工程质量检测机构综合资质证书，且资质证书在有效期内；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②具备建设行政主管部门颁发的建设工程质量检测机构专项资质证书（专项资质证书包括：建筑材料及构配件、主体结构及装饰装修、地基基础、建筑节能、钢结构</w:t>
      </w:r>
      <w:r>
        <w:rPr>
          <w:rFonts w:hint="eastAsia" w:ascii="宋体"/>
          <w:b w:val="0"/>
          <w:bCs/>
          <w:color w:val="auto"/>
          <w:sz w:val="21"/>
          <w:szCs w:val="21"/>
          <w:highlight w:val="none"/>
          <w:lang w:val="en-US" w:eastAsia="zh-CN"/>
        </w:rPr>
        <w:t>等</w:t>
      </w:r>
      <w:r>
        <w:rPr>
          <w:rFonts w:hint="eastAsia" w:ascii="宋体" w:hAnsi="宋体" w:cs="宋体"/>
          <w:bCs/>
          <w:color w:val="auto"/>
          <w:szCs w:val="20"/>
          <w:highlight w:val="none"/>
          <w:lang w:val="en-US" w:eastAsia="zh-CN"/>
        </w:rPr>
        <w:t>），且资质证书在有效期内；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③具备建设行政主管部门颁发的建设工程质量检测机构资质证书（检测范围应覆盖本项目的服务范围：包括见证取样检测、地基基础工程检测、主体结构工程现场检测、钢结构工程检测</w:t>
      </w:r>
      <w:r>
        <w:rPr>
          <w:rFonts w:hint="eastAsia" w:ascii="宋体"/>
          <w:b w:val="0"/>
          <w:bCs/>
          <w:color w:val="auto"/>
          <w:sz w:val="21"/>
          <w:szCs w:val="21"/>
          <w:highlight w:val="none"/>
          <w:lang w:val="en-US" w:eastAsia="zh-CN"/>
        </w:rPr>
        <w:t>等</w:t>
      </w:r>
      <w:r>
        <w:rPr>
          <w:rFonts w:hint="eastAsia" w:ascii="宋体" w:hAnsi="宋体" w:cs="宋体"/>
          <w:bCs/>
          <w:color w:val="auto"/>
          <w:szCs w:val="20"/>
          <w:highlight w:val="none"/>
          <w:lang w:val="en-US" w:eastAsia="zh-CN"/>
        </w:rPr>
        <w:t>），且资质证书在有效期以内。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color w:val="auto"/>
          <w:lang w:val="en-US" w:eastAsia="zh-CN"/>
        </w:rPr>
      </w:pPr>
      <w:r>
        <w:rPr>
          <w:rFonts w:hint="eastAsia" w:ascii="宋体" w:hAnsi="宋体" w:cs="宋体"/>
          <w:bCs/>
          <w:color w:val="auto"/>
          <w:szCs w:val="20"/>
          <w:highlight w:val="none"/>
          <w:lang w:val="en-US" w:eastAsia="zh-CN"/>
        </w:rPr>
        <w:t>注：资质标准按照《住房和城乡建设部关于印发&lt;建设工程质量检测机构资质标准&gt;的通知》（建质规〔2023〕1号，以下简称新标准）、《住房和城乡建设部办公厅关于做好建设工程质量检测机构新旧资质标准过渡工作的通知》（建办质函〔2023〕100号）规定执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（2）投标人</w:t>
      </w:r>
      <w:r>
        <w:rPr>
          <w:rFonts w:hint="eastAsia" w:ascii="宋体" w:hAnsi="宋体" w:eastAsia="宋体" w:cs="宋体"/>
          <w:b/>
          <w:bCs w:val="0"/>
          <w:color w:val="auto"/>
          <w:szCs w:val="20"/>
          <w:highlight w:val="none"/>
          <w:lang w:val="en-US" w:eastAsia="zh-CN"/>
        </w:rPr>
        <w:t>（监测任务）</w:t>
      </w:r>
      <w:r>
        <w:rPr>
          <w:rFonts w:hint="eastAsia" w:ascii="宋体" w:hAnsi="宋体" w:eastAsia="宋体" w:cs="宋体"/>
          <w:bCs/>
          <w:color w:val="auto"/>
          <w:szCs w:val="20"/>
          <w:highlight w:val="none"/>
          <w:lang w:val="en-US" w:eastAsia="zh-CN"/>
        </w:rPr>
        <w:t>具备以下资质（①或②或③）：</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 xml:space="preserve">①工程勘察综合资质甲级，且资质证书在有效期内；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 xml:space="preserve">②同时具备工程勘察专业类（岩土工程）乙级资质及工程勘察专业类（工程测量）乙级资质，且资质证书在有效期内；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eastAsia="宋体" w:cs="宋体"/>
          <w:bCs/>
          <w:color w:val="auto"/>
          <w:szCs w:val="20"/>
          <w:highlight w:val="none"/>
          <w:lang w:val="en-US" w:eastAsia="zh-CN"/>
        </w:rPr>
        <w:t>③同时具备工程勘察专业类岩土工程（分项）物探测试检测监测乙级资质及工程勘察专业类（工程测量）乙级资质，且资质证书在有效期内；</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5.3投标人具备质量技术监督管理部门颁发的CMA计量认证合格证书（或CMA检验检测机构资质认定证书），且计量认证证书在有效期内。认证范围应覆盖本项目的服务范围：①承担检测任务的单位认证范围为：见证取样检测、地基与基础工程检测、主体结构工程检测、钢结构检测等；②承担监测任务的单位认证范围为：高支模监测。如CMA计量认证合格证书（或CMA检验检测机构资质认定证书）中的认证项目与上述名称不同，但表达的意思一致也视为满足该项条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5.4投标人拟委派项目负责人具备工程相关专业中级（或以上）技术职称，且必须为投标人在职员工。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5.5业绩证明：2021年01月01日至今完成过类似业绩不少于2项。（类似业绩是指:第三方检测监测，类似业绩认定时间以合同签订时间为准）；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5.6投标人已按规定格式签名盖章《投标人声明》（格式见招标文件附件）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5.7投标人参加投标的意思表达清楚，投标人代表被授权有效。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textAlignment w:val="auto"/>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pPr>
      <w:r>
        <w:rPr>
          <w:rFonts w:hint="eastAsia" w:ascii="宋体" w:hAnsi="宋体" w:cs="宋体"/>
          <w:bCs/>
          <w:color w:val="auto"/>
          <w:szCs w:val="20"/>
          <w:highlight w:val="none"/>
          <w:lang w:val="en-US" w:eastAsia="zh-CN"/>
        </w:rPr>
        <w:t>5</w:t>
      </w:r>
      <w:bookmarkStart w:id="50" w:name="_GoBack"/>
      <w:bookmarkEnd w:id="50"/>
      <w:r>
        <w:rPr>
          <w:rFonts w:hint="eastAsia" w:ascii="宋体" w:hAnsi="宋体" w:cs="宋体"/>
          <w:bCs/>
          <w:color w:val="auto"/>
          <w:szCs w:val="20"/>
          <w:highlight w:val="none"/>
          <w:lang w:val="en-US" w:eastAsia="zh-CN"/>
        </w:rPr>
        <w:t>.8</w:t>
      </w:r>
      <w:r>
        <w:rPr>
          <w:rFonts w:hint="eastAsia" w:ascii="宋体" w:hAnsi="宋体" w:eastAsia="宋体" w:cs="宋体"/>
          <w:bCs/>
          <w:color w:val="auto"/>
          <w:szCs w:val="20"/>
          <w:highlight w:val="none"/>
        </w:rPr>
        <w:t>本项目不接受联合体投标。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1" w:firstLineChars="1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cs="宋体"/>
          <w:b/>
          <w:bCs w:val="0"/>
          <w:i w:val="0"/>
          <w:iCs w:val="0"/>
          <w:caps w:val="0"/>
          <w:color w:val="auto"/>
          <w:spacing w:val="0"/>
          <w:kern w:val="0"/>
          <w:sz w:val="21"/>
          <w:szCs w:val="21"/>
          <w:highlight w:val="none"/>
          <w:shd w:val="clear" w:color="auto" w:fill="FFFFFF"/>
          <w:lang w:val="en-US" w:eastAsia="zh-CN" w:bidi="ar"/>
        </w:rPr>
        <w:t>六</w:t>
      </w: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符合资格的投标单位应当在</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2024年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6</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日至2024年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11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12</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期间到广东国仕工程咨询有限公司（http://www.gdguoshi.com/）官网处下载招标文件）并将加盖投标人公章的投标登记资料发送至电子邮箱（1016777643@qq.com）进行登记，审核通过后即为登记成功。投标登记具体需要提供的资料如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具有有效的法定代表人证明书及法人代表授权委托书</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（原件）</w:t>
      </w:r>
      <w:r>
        <w:rPr>
          <w:rFonts w:hint="eastAsia" w:ascii="宋体" w:hAnsi="宋体"/>
          <w:bCs/>
          <w:color w:val="auto"/>
          <w:sz w:val="21"/>
          <w:szCs w:val="21"/>
          <w:highlight w:val="none"/>
          <w:lang w:val="en-US" w:eastAsia="zh-CN"/>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具有营业执照复印件；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具有有效的资质证书复印件；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具有CMA计量认证合格证书复印件；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项目负责人的职称证及近一月社保证明；</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left="630" w:leftChars="0" w:firstLineChars="0"/>
        <w:jc w:val="left"/>
        <w:textAlignment w:val="auto"/>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630" w:firstLineChars="300"/>
        <w:textAlignment w:val="auto"/>
        <w:rPr>
          <w:rFonts w:hint="eastAsia" w:ascii="宋体"/>
          <w:b/>
          <w:bCs w:val="0"/>
          <w:color w:val="auto"/>
          <w:sz w:val="21"/>
          <w:szCs w:val="21"/>
          <w:highlight w:val="none"/>
          <w:lang w:eastAsia="zh-CN"/>
        </w:rPr>
      </w:pPr>
      <w:r>
        <w:rPr>
          <w:rFonts w:hint="eastAsia" w:ascii="宋体" w:hAnsi="宋体"/>
          <w:b w:val="0"/>
          <w:bCs w:val="0"/>
          <w:color w:val="auto"/>
          <w:sz w:val="21"/>
          <w:szCs w:val="21"/>
          <w:highlight w:val="none"/>
          <w:lang w:val="en-US" w:eastAsia="zh-CN"/>
        </w:rPr>
        <w:t>（7）提供《投标人声明》</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u w:val="single"/>
        </w:rPr>
      </w:pPr>
      <w:r>
        <w:rPr>
          <w:rFonts w:hint="eastAsia" w:ascii="宋体"/>
          <w:b/>
          <w:bCs w:val="0"/>
          <w:color w:val="auto"/>
          <w:sz w:val="21"/>
          <w:szCs w:val="21"/>
          <w:highlight w:val="none"/>
          <w:lang w:val="en-US" w:eastAsia="zh-CN"/>
        </w:rPr>
        <w:t>七</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投标截止时间：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 xml:space="preserve">月 </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13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日09</w:t>
      </w:r>
      <w:r>
        <w:rPr>
          <w:rFonts w:hint="eastAsia" w:ascii="宋体"/>
          <w:b w:val="0"/>
          <w:bCs/>
          <w:color w:val="auto"/>
          <w:sz w:val="21"/>
          <w:szCs w:val="21"/>
          <w:highlight w:val="none"/>
          <w:u w:val="single"/>
          <w:lang w:val="en-US" w:eastAsia="zh-CN"/>
        </w:rPr>
        <w:t xml:space="preserve">  </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 xml:space="preserve"> 30 </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rPr>
        <w:t>（投标文件递交时间：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 xml:space="preserve">月 </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13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00</w:t>
      </w:r>
      <w:r>
        <w:rPr>
          <w:rFonts w:hint="eastAsia" w:ascii="宋体"/>
          <w:b w:val="0"/>
          <w:bCs/>
          <w:color w:val="auto"/>
          <w:sz w:val="21"/>
          <w:szCs w:val="21"/>
          <w:highlight w:val="none"/>
          <w:u w:val="single"/>
        </w:rPr>
        <w:t>分</w:t>
      </w:r>
      <w:r>
        <w:rPr>
          <w:rFonts w:hint="eastAsia" w:ascii="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r>
        <w:rPr>
          <w:rFonts w:hint="eastAsia" w:ascii="宋体" w:hAnsi="宋体" w:cs="宋体"/>
          <w:b w:val="0"/>
          <w:bCs/>
          <w:color w:val="auto"/>
          <w:sz w:val="21"/>
          <w:szCs w:val="21"/>
          <w:highlight w:val="none"/>
          <w:u w:val="single"/>
        </w:rPr>
        <w:t>）</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八</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提交投标文件地点：</w:t>
      </w:r>
      <w:r>
        <w:rPr>
          <w:rFonts w:hint="eastAsia" w:ascii="宋体"/>
          <w:b w:val="0"/>
          <w:bCs/>
          <w:color w:val="auto"/>
          <w:sz w:val="21"/>
          <w:szCs w:val="21"/>
          <w:highlight w:val="none"/>
        </w:rPr>
        <w:t>广州市花都区新华街道碧桂园星港国际A1栋817室</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ascii="宋体"/>
          <w:b w:val="0"/>
          <w:bCs/>
          <w:color w:val="auto"/>
          <w:sz w:val="21"/>
          <w:szCs w:val="21"/>
          <w:highlight w:val="none"/>
        </w:rPr>
      </w:pPr>
      <w:r>
        <w:rPr>
          <w:rFonts w:hint="eastAsia" w:ascii="宋体"/>
          <w:b/>
          <w:bCs w:val="0"/>
          <w:color w:val="auto"/>
          <w:sz w:val="21"/>
          <w:szCs w:val="21"/>
          <w:highlight w:val="none"/>
          <w:lang w:val="en-US" w:eastAsia="zh-CN"/>
        </w:rPr>
        <w:t>九</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开标时间：</w:t>
      </w:r>
      <w:r>
        <w:rPr>
          <w:rFonts w:hint="eastAsia" w:ascii="宋体" w:hAnsi="宋体" w:cs="宋体"/>
          <w:b w:val="0"/>
          <w:bCs/>
          <w:color w:val="auto"/>
          <w:sz w:val="21"/>
          <w:szCs w:val="21"/>
          <w:highlight w:val="none"/>
          <w:u w:val="single"/>
        </w:rPr>
        <w:t>202</w:t>
      </w:r>
      <w:r>
        <w:rPr>
          <w:rFonts w:hint="eastAsia" w:ascii="宋体" w:hAnsi="宋体" w:cs="宋体"/>
          <w:b w:val="0"/>
          <w:bCs/>
          <w:color w:val="auto"/>
          <w:sz w:val="21"/>
          <w:szCs w:val="21"/>
          <w:highlight w:val="none"/>
          <w:u w:val="single"/>
          <w:lang w:val="en-US" w:eastAsia="zh-CN"/>
        </w:rPr>
        <w:t>4</w:t>
      </w:r>
      <w:r>
        <w:rPr>
          <w:rFonts w:hint="eastAsia" w:ascii="宋体" w:hAnsi="宋体" w:cs="宋体"/>
          <w:b w:val="0"/>
          <w:bCs/>
          <w:color w:val="auto"/>
          <w:sz w:val="21"/>
          <w:szCs w:val="21"/>
          <w:highlight w:val="none"/>
          <w:u w:val="single"/>
        </w:rPr>
        <w:t>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 xml:space="preserve"> 月 </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13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cs="宋体"/>
          <w:b w:val="0"/>
          <w:bCs/>
          <w:color w:val="auto"/>
          <w:sz w:val="21"/>
          <w:szCs w:val="21"/>
          <w:highlight w:val="none"/>
          <w:u w:val="single"/>
          <w:lang w:val="en-US" w:eastAsia="zh-CN"/>
        </w:rPr>
        <w:t>09</w:t>
      </w:r>
      <w:r>
        <w:rPr>
          <w:rFonts w:hint="eastAsia" w:ascii="宋体"/>
          <w:b w:val="0"/>
          <w:bCs/>
          <w:color w:val="auto"/>
          <w:sz w:val="21"/>
          <w:szCs w:val="21"/>
          <w:highlight w:val="none"/>
          <w:u w:val="single"/>
        </w:rPr>
        <w:t>时</w:t>
      </w:r>
      <w:r>
        <w:rPr>
          <w:rFonts w:hint="eastAsia" w:ascii="宋体"/>
          <w:b w:val="0"/>
          <w:bCs/>
          <w:color w:val="auto"/>
          <w:sz w:val="21"/>
          <w:szCs w:val="21"/>
          <w:highlight w:val="none"/>
          <w:u w:val="single"/>
          <w:lang w:val="en-US" w:eastAsia="zh-CN"/>
        </w:rPr>
        <w:t>30</w:t>
      </w:r>
      <w:r>
        <w:rPr>
          <w:rFonts w:hint="eastAsia" w:ascii="宋体"/>
          <w:b w:val="0"/>
          <w:bCs/>
          <w:color w:val="auto"/>
          <w:sz w:val="21"/>
          <w:szCs w:val="21"/>
          <w:highlight w:val="none"/>
          <w:u w:val="single"/>
        </w:rPr>
        <w:t>分</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val="0"/>
          <w:bCs/>
          <w:color w:val="auto"/>
          <w:sz w:val="21"/>
          <w:szCs w:val="21"/>
          <w:highlight w:val="none"/>
        </w:rPr>
      </w:pPr>
      <w:r>
        <w:rPr>
          <w:rFonts w:hint="eastAsia" w:ascii="宋体"/>
          <w:b/>
          <w:bCs w:val="0"/>
          <w:color w:val="auto"/>
          <w:sz w:val="21"/>
          <w:szCs w:val="21"/>
          <w:highlight w:val="none"/>
          <w:lang w:val="en-US" w:eastAsia="zh-CN"/>
        </w:rPr>
        <w:t>十</w:t>
      </w:r>
      <w:r>
        <w:rPr>
          <w:rFonts w:hint="eastAsia" w:ascii="宋体"/>
          <w:b/>
          <w:bCs w:val="0"/>
          <w:color w:val="auto"/>
          <w:sz w:val="21"/>
          <w:szCs w:val="21"/>
          <w:highlight w:val="none"/>
          <w:lang w:eastAsia="zh-CN"/>
        </w:rPr>
        <w:t>、</w:t>
      </w:r>
      <w:r>
        <w:rPr>
          <w:rFonts w:hint="eastAsia" w:ascii="宋体"/>
          <w:b/>
          <w:bCs w:val="0"/>
          <w:color w:val="auto"/>
          <w:sz w:val="21"/>
          <w:szCs w:val="21"/>
          <w:highlight w:val="none"/>
        </w:rPr>
        <w:t>开标地点：</w:t>
      </w:r>
      <w:r>
        <w:rPr>
          <w:rFonts w:hint="eastAsia" w:ascii="宋体"/>
          <w:b w:val="0"/>
          <w:bCs/>
          <w:color w:val="auto"/>
          <w:sz w:val="21"/>
          <w:szCs w:val="21"/>
          <w:highlight w:val="none"/>
        </w:rPr>
        <w:t>广州市花都区新华街道碧桂园星港国际A1栋817室</w:t>
      </w:r>
    </w:p>
    <w:p>
      <w:pPr>
        <w:adjustRightInd w:val="0"/>
        <w:snapToGrid w:val="0"/>
        <w:spacing w:line="360" w:lineRule="auto"/>
        <w:ind w:left="420" w:leftChars="200" w:firstLine="0" w:firstLineChars="0"/>
        <w:jc w:val="left"/>
        <w:rPr>
          <w:rFonts w:hint="eastAsia" w:ascii="宋体" w:hAnsi="宋体" w:cs="宋体"/>
          <w:b/>
          <w:color w:val="auto"/>
          <w:kern w:val="0"/>
          <w:sz w:val="21"/>
          <w:szCs w:val="21"/>
          <w:highlight w:val="none"/>
        </w:rPr>
      </w:pPr>
      <w:r>
        <w:rPr>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本公告期限</w:t>
      </w:r>
      <w:r>
        <w:rPr>
          <w:rFonts w:hint="eastAsia" w:ascii="宋体" w:hAnsi="宋体" w:cs="宋体"/>
          <w:b/>
          <w:bCs w:val="0"/>
          <w:i w:val="0"/>
          <w:iCs w:val="0"/>
          <w:caps w:val="0"/>
          <w:color w:val="auto"/>
          <w:spacing w:val="0"/>
          <w:kern w:val="0"/>
          <w:sz w:val="21"/>
          <w:szCs w:val="21"/>
          <w:highlight w:val="none"/>
          <w:shd w:val="clear" w:color="auto" w:fill="FFFFFF"/>
          <w:lang w:val="en-US" w:eastAsia="zh-CN" w:bidi="ar"/>
        </w:rPr>
        <w:t>：</w:t>
      </w: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自</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2024年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11</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6</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日至2024年</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11 </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月</w:t>
      </w:r>
      <w:r>
        <w:rPr>
          <w:rStyle w:val="25"/>
          <w:rFonts w:hint="eastAsia" w:ascii="宋体" w:hAnsi="宋体" w:cs="宋体"/>
          <w:b w:val="0"/>
          <w:bCs/>
          <w:i w:val="0"/>
          <w:iCs w:val="0"/>
          <w:caps w:val="0"/>
          <w:color w:val="auto"/>
          <w:spacing w:val="0"/>
          <w:kern w:val="0"/>
          <w:sz w:val="21"/>
          <w:szCs w:val="21"/>
          <w:highlight w:val="none"/>
          <w:u w:val="single"/>
          <w:shd w:val="clear" w:color="auto" w:fill="FFFFFF"/>
          <w:lang w:val="en-US" w:eastAsia="zh-CN" w:bidi="ar"/>
        </w:rPr>
        <w:t xml:space="preserve"> 12</w:t>
      </w:r>
      <w:r>
        <w:rPr>
          <w:rStyle w:val="25"/>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日</w:t>
      </w:r>
      <w:r>
        <w:rPr>
          <w:rFonts w:hint="eastAsia" w:ascii="宋体" w:hAnsi="宋体" w:eastAsia="宋体" w:cs="宋体"/>
          <w:b w:val="0"/>
          <w:bCs/>
          <w:i w:val="0"/>
          <w:iCs w:val="0"/>
          <w:caps w:val="0"/>
          <w:color w:val="auto"/>
          <w:spacing w:val="0"/>
          <w:kern w:val="0"/>
          <w:sz w:val="21"/>
          <w:szCs w:val="21"/>
          <w:highlight w:val="none"/>
          <w:u w:val="single"/>
          <w:shd w:val="clear" w:color="auto" w:fill="FFFFFF"/>
          <w:lang w:val="en-US" w:eastAsia="zh-CN" w:bidi="ar"/>
        </w:rPr>
        <w:t>止。</w:t>
      </w:r>
      <w:r>
        <w:rPr>
          <w:rFonts w:hint="eastAsia" w:ascii="宋体" w:hAnsi="宋体" w:eastAsia="宋体" w:cs="宋体"/>
          <w:b/>
          <w:bCs w:val="0"/>
          <w:i w:val="0"/>
          <w:iCs w:val="0"/>
          <w:caps w:val="0"/>
          <w:color w:val="auto"/>
          <w:spacing w:val="0"/>
          <w:kern w:val="0"/>
          <w:sz w:val="21"/>
          <w:szCs w:val="21"/>
          <w:highlight w:val="none"/>
          <w:u w:val="single"/>
          <w:shd w:val="clear" w:color="auto" w:fill="FFFFFF"/>
          <w:lang w:val="en-US" w:eastAsia="zh-CN" w:bidi="ar"/>
        </w:rPr>
        <w:br w:type="textWrapping"/>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十</w:t>
      </w:r>
      <w:r>
        <w:rPr>
          <w:rFonts w:hint="eastAsia" w:ascii="宋体" w:hAnsi="宋体" w:cs="宋体"/>
          <w:b/>
          <w:bCs w:val="0"/>
          <w:i w:val="0"/>
          <w:iCs w:val="0"/>
          <w:caps w:val="0"/>
          <w:color w:val="auto"/>
          <w:spacing w:val="0"/>
          <w:kern w:val="0"/>
          <w:sz w:val="21"/>
          <w:szCs w:val="21"/>
          <w:highlight w:val="none"/>
          <w:u w:val="none"/>
          <w:shd w:val="clear" w:color="auto" w:fill="FFFFFF"/>
          <w:lang w:val="en-US" w:eastAsia="zh-CN" w:bidi="ar"/>
        </w:rPr>
        <w:t>一</w:t>
      </w:r>
      <w:r>
        <w:rPr>
          <w:rFonts w:hint="eastAsia" w:ascii="宋体" w:hAnsi="宋体" w:eastAsia="宋体" w:cs="宋体"/>
          <w:b/>
          <w:bCs w:val="0"/>
          <w:i w:val="0"/>
          <w:iCs w:val="0"/>
          <w:caps w:val="0"/>
          <w:color w:val="auto"/>
          <w:spacing w:val="0"/>
          <w:kern w:val="0"/>
          <w:sz w:val="21"/>
          <w:szCs w:val="21"/>
          <w:highlight w:val="none"/>
          <w:u w:val="none"/>
          <w:shd w:val="clear" w:color="auto" w:fill="FFFFFF"/>
          <w:lang w:val="en-US" w:eastAsia="zh-CN" w:bidi="ar"/>
        </w:rPr>
        <w:t>、</w:t>
      </w:r>
      <w:r>
        <w:rPr>
          <w:rFonts w:hint="eastAsia" w:ascii="宋体" w:hAnsi="宋体" w:cs="宋体"/>
          <w:b/>
          <w:bCs w:val="0"/>
          <w:color w:val="auto"/>
          <w:kern w:val="0"/>
          <w:sz w:val="21"/>
          <w:szCs w:val="21"/>
          <w:highlight w:val="none"/>
          <w:u w:val="none"/>
        </w:rPr>
        <w:t>发布公告</w:t>
      </w:r>
    </w:p>
    <w:p>
      <w:pPr>
        <w:adjustRightInd w:val="0"/>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招标文件</w:t>
      </w:r>
      <w:r>
        <w:rPr>
          <w:rFonts w:hint="eastAsia" w:ascii="宋体" w:hAnsi="宋体" w:cs="宋体"/>
          <w:color w:val="auto"/>
          <w:sz w:val="21"/>
          <w:szCs w:val="21"/>
          <w:highlight w:val="none"/>
        </w:rPr>
        <w:t>等相关信息在</w:t>
      </w:r>
      <w:r>
        <w:rPr>
          <w:rFonts w:hint="eastAsia" w:ascii="宋体" w:hAnsi="宋体" w:cs="宋体"/>
          <w:color w:val="auto"/>
          <w:kern w:val="1"/>
          <w:sz w:val="21"/>
          <w:szCs w:val="21"/>
          <w:highlight w:val="none"/>
        </w:rPr>
        <w:t>【</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广东国仕工程咨询有限公司（http://www.gdguoshi.com/）</w:t>
      </w:r>
      <w:r>
        <w:rPr>
          <w:rFonts w:hint="eastAsia" w:ascii="宋体" w:hAnsi="宋体" w:cs="宋体"/>
          <w:color w:val="auto"/>
          <w:kern w:val="1"/>
          <w:sz w:val="21"/>
          <w:szCs w:val="21"/>
          <w:highlight w:val="none"/>
        </w:rPr>
        <w:t>】</w:t>
      </w:r>
      <w:r>
        <w:rPr>
          <w:rFonts w:hint="eastAsia" w:ascii="宋体" w:hAnsi="宋体" w:cs="宋体"/>
          <w:color w:val="auto"/>
          <w:sz w:val="21"/>
          <w:szCs w:val="21"/>
          <w:highlight w:val="none"/>
        </w:rPr>
        <w:t>上公布,并视为有效送达，不再另行通知。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十</w:t>
      </w:r>
      <w:r>
        <w:rPr>
          <w:rStyle w:val="25"/>
          <w:rFonts w:hint="eastAsia" w:ascii="宋体" w:hAnsi="宋体" w:cs="宋体"/>
          <w:i w:val="0"/>
          <w:iCs w:val="0"/>
          <w:caps w:val="0"/>
          <w:color w:val="auto"/>
          <w:spacing w:val="0"/>
          <w:kern w:val="0"/>
          <w:sz w:val="21"/>
          <w:szCs w:val="21"/>
          <w:highlight w:val="none"/>
          <w:shd w:val="clear" w:color="auto" w:fill="FFFFFF"/>
          <w:lang w:val="en-US" w:eastAsia="zh-CN" w:bidi="ar"/>
        </w:rPr>
        <w:t>二</w:t>
      </w: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、联系事项：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both"/>
        <w:textAlignment w:val="auto"/>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b/>
          <w:bCs w:val="0"/>
          <w:i w:val="0"/>
          <w:iCs w:val="0"/>
          <w:caps w:val="0"/>
          <w:color w:val="auto"/>
          <w:spacing w:val="0"/>
          <w:kern w:val="0"/>
          <w:sz w:val="21"/>
          <w:szCs w:val="21"/>
          <w:highlight w:val="none"/>
          <w:shd w:val="clear" w:color="auto" w:fill="FFFFFF"/>
          <w:lang w:val="en-US" w:eastAsia="zh-CN" w:bidi="ar"/>
        </w:rPr>
        <w:t>建设单位</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w:t>
      </w:r>
      <w:r>
        <w:rPr>
          <w:rStyle w:val="25"/>
          <w:rFonts w:hint="eastAsia" w:ascii="宋体" w:hAnsi="宋体" w:cs="宋体"/>
          <w:b w:val="0"/>
          <w:bCs/>
          <w:i w:val="0"/>
          <w:iCs w:val="0"/>
          <w:caps w:val="0"/>
          <w:color w:val="auto"/>
          <w:spacing w:val="0"/>
          <w:kern w:val="0"/>
          <w:sz w:val="21"/>
          <w:szCs w:val="21"/>
          <w:highlight w:val="none"/>
          <w:shd w:val="clear" w:color="auto" w:fill="FFFFFF"/>
          <w:lang w:val="en-US" w:eastAsia="zh-CN" w:bidi="ar"/>
        </w:rPr>
        <w:t>广州市昌记供应链有限公司（椰林集团）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pPr>
      <w:r>
        <w:rPr>
          <w:rStyle w:val="25"/>
          <w:rFonts w:hint="eastAsia" w:ascii="宋体" w:hAnsi="宋体" w:eastAsia="宋体" w:cs="宋体"/>
          <w:i w:val="0"/>
          <w:iCs w:val="0"/>
          <w:caps w:val="0"/>
          <w:color w:val="auto"/>
          <w:spacing w:val="0"/>
          <w:kern w:val="0"/>
          <w:sz w:val="21"/>
          <w:szCs w:val="21"/>
          <w:highlight w:val="none"/>
          <w:shd w:val="clear" w:color="auto" w:fill="FFFFFF"/>
          <w:lang w:val="en-US" w:eastAsia="zh-CN" w:bidi="ar"/>
        </w:rPr>
        <w:t>地址：</w:t>
      </w:r>
      <w:r>
        <w:rPr>
          <w:rStyle w:val="25"/>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广州市花都区雅瑶中路1号玻璃大楼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联系人</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：李工</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pPr>
      <w:r>
        <w:rPr>
          <w:rFonts w:hint="eastAsia" w:ascii="宋体" w:hAnsi="宋体" w:cs="宋体"/>
          <w:b/>
          <w:bCs/>
          <w:i w:val="0"/>
          <w:iCs w:val="0"/>
          <w:caps w:val="0"/>
          <w:color w:val="auto"/>
          <w:spacing w:val="0"/>
          <w:kern w:val="0"/>
          <w:sz w:val="21"/>
          <w:szCs w:val="21"/>
          <w:highlight w:val="none"/>
          <w:shd w:val="clear" w:color="auto" w:fill="FFFFFF"/>
          <w:lang w:val="en-US" w:eastAsia="zh-CN" w:bidi="ar"/>
        </w:rPr>
        <w:t>联系电话：</w:t>
      </w:r>
      <w:r>
        <w:rPr>
          <w:rFonts w:hint="eastAsia" w:ascii="宋体" w:hAnsi="宋体" w:eastAsia="宋体" w:cs="宋体"/>
          <w:b w:val="0"/>
          <w:bCs w:val="0"/>
          <w:i w:val="0"/>
          <w:iCs w:val="0"/>
          <w:caps w:val="0"/>
          <w:color w:val="auto"/>
          <w:spacing w:val="0"/>
          <w:kern w:val="0"/>
          <w:sz w:val="21"/>
          <w:szCs w:val="21"/>
          <w:highlight w:val="none"/>
          <w:shd w:val="clear" w:color="auto" w:fill="FFFFFF"/>
          <w:lang w:val="en-US" w:eastAsia="zh-CN" w:bidi="ar"/>
        </w:rPr>
        <w:t>15914304647 </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xml:space="preserve">     </w:t>
      </w:r>
    </w:p>
    <w:p>
      <w:pPr>
        <w:keepNext w:val="0"/>
        <w:keepLines w:val="0"/>
        <w:pageBreakBefore w:val="0"/>
        <w:widowControl w:val="0"/>
        <w:numPr>
          <w:ilvl w:val="0"/>
          <w:numId w:val="0"/>
        </w:numPr>
        <w:tabs>
          <w:tab w:val="left" w:pos="142"/>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color w:val="auto"/>
          <w:sz w:val="21"/>
          <w:szCs w:val="21"/>
          <w:highlight w:val="none"/>
        </w:rPr>
      </w:pP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eastAsia="宋体"/>
          <w:bCs/>
          <w:color w:val="auto"/>
          <w:sz w:val="21"/>
          <w:szCs w:val="21"/>
          <w:highlight w:val="none"/>
          <w:lang w:eastAsia="zh-CN"/>
        </w:rPr>
      </w:pPr>
      <w:r>
        <w:rPr>
          <w:rFonts w:hint="eastAsia" w:ascii="宋体" w:hAnsi="宋体"/>
          <w:b/>
          <w:bCs/>
          <w:color w:val="auto"/>
          <w:sz w:val="21"/>
          <w:szCs w:val="21"/>
          <w:highlight w:val="none"/>
        </w:rPr>
        <w:t>招标代理机构：</w:t>
      </w:r>
      <w:r>
        <w:rPr>
          <w:rFonts w:hint="eastAsia" w:ascii="宋体" w:hAnsi="宋体"/>
          <w:color w:val="auto"/>
          <w:sz w:val="21"/>
          <w:szCs w:val="21"/>
          <w:highlight w:val="none"/>
          <w:lang w:eastAsia="zh-CN"/>
        </w:rPr>
        <w:t>广东国仕工程咨询有限公司</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地址：</w:t>
      </w:r>
      <w:r>
        <w:rPr>
          <w:rFonts w:hint="eastAsia" w:ascii="宋体" w:hAnsi="宋体"/>
          <w:color w:val="auto"/>
          <w:sz w:val="21"/>
          <w:szCs w:val="21"/>
          <w:highlight w:val="none"/>
        </w:rPr>
        <w:t>广州市花都区新华街道碧桂园星港国际A1栋817室</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联系人：</w:t>
      </w:r>
      <w:r>
        <w:rPr>
          <w:rFonts w:hint="eastAsia" w:ascii="宋体" w:hAnsi="宋体"/>
          <w:color w:val="auto"/>
          <w:sz w:val="21"/>
          <w:szCs w:val="21"/>
          <w:highlight w:val="none"/>
          <w:lang w:val="en-US" w:eastAsia="zh-CN"/>
        </w:rPr>
        <w:t xml:space="preserve">刘工  </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联系电话</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020-36883728、15602400726</w:t>
      </w:r>
    </w:p>
    <w:p>
      <w:pPr>
        <w:keepNext w:val="0"/>
        <w:keepLines w:val="0"/>
        <w:pageBreakBefore w:val="0"/>
        <w:widowControl w:val="0"/>
        <w:tabs>
          <w:tab w:val="left" w:pos="426"/>
          <w:tab w:val="left" w:pos="709"/>
        </w:tabs>
        <w:kinsoku/>
        <w:wordWrap/>
        <w:overflowPunct/>
        <w:topLinePunct w:val="0"/>
        <w:autoSpaceDE/>
        <w:autoSpaceDN/>
        <w:bidi w:val="0"/>
        <w:adjustRightInd w:val="0"/>
        <w:snapToGrid w:val="0"/>
        <w:spacing w:line="360" w:lineRule="auto"/>
        <w:ind w:firstLine="422" w:firstLineChars="200"/>
        <w:textAlignment w:val="auto"/>
        <w:rPr>
          <w:rFonts w:ascii="宋体" w:hAnsi="宋体"/>
          <w:color w:val="auto"/>
          <w:sz w:val="21"/>
          <w:szCs w:val="21"/>
          <w:highlight w:val="none"/>
        </w:rPr>
      </w:pPr>
      <w:r>
        <w:rPr>
          <w:rFonts w:hint="eastAsia" w:ascii="宋体" w:hAnsi="宋体"/>
          <w:b/>
          <w:bCs/>
          <w:color w:val="auto"/>
          <w:sz w:val="21"/>
          <w:szCs w:val="21"/>
          <w:highlight w:val="none"/>
        </w:rPr>
        <w:t>电子邮箱：</w:t>
      </w:r>
      <w:r>
        <w:rPr>
          <w:rFonts w:hint="eastAsia" w:ascii="宋体" w:hAnsi="宋体"/>
          <w:color w:val="auto"/>
          <w:sz w:val="21"/>
          <w:szCs w:val="21"/>
          <w:highlight w:val="none"/>
          <w:lang w:val="en-US" w:eastAsia="zh-CN"/>
        </w:rPr>
        <w:t>1016777643</w:t>
      </w:r>
      <w:r>
        <w:rPr>
          <w:rFonts w:hint="eastAsia" w:ascii="宋体" w:hAnsi="宋体"/>
          <w:color w:val="auto"/>
          <w:sz w:val="21"/>
          <w:szCs w:val="21"/>
          <w:highlight w:val="none"/>
        </w:rPr>
        <w:t>@qq.com</w:t>
      </w:r>
    </w:p>
    <w:p>
      <w:pPr>
        <w:tabs>
          <w:tab w:val="right" w:pos="9180"/>
        </w:tabs>
        <w:adjustRightInd w:val="0"/>
        <w:snapToGrid w:val="0"/>
        <w:spacing w:line="360" w:lineRule="auto"/>
        <w:ind w:firstLine="435"/>
        <w:jc w:val="right"/>
        <w:rPr>
          <w:color w:val="auto"/>
          <w:sz w:val="21"/>
          <w:szCs w:val="21"/>
          <w:highlight w:val="none"/>
        </w:rPr>
      </w:pPr>
      <w:r>
        <w:rPr>
          <w:color w:val="auto"/>
          <w:sz w:val="21"/>
          <w:szCs w:val="21"/>
          <w:highlight w:val="none"/>
        </w:rPr>
        <w:tab/>
      </w:r>
    </w:p>
    <w:p>
      <w:pPr>
        <w:tabs>
          <w:tab w:val="right" w:pos="9180"/>
        </w:tabs>
        <w:adjustRightInd w:val="0"/>
        <w:snapToGrid w:val="0"/>
        <w:spacing w:line="360" w:lineRule="auto"/>
        <w:ind w:firstLine="435"/>
        <w:jc w:val="right"/>
        <w:rPr>
          <w:rFonts w:hint="eastAsia" w:eastAsia="宋体"/>
          <w:color w:val="auto"/>
          <w:sz w:val="21"/>
          <w:szCs w:val="21"/>
          <w:highlight w:val="none"/>
          <w:lang w:eastAsia="zh-CN"/>
        </w:rPr>
      </w:pPr>
      <w:r>
        <w:rPr>
          <w:rFonts w:hint="eastAsia"/>
          <w:color w:val="auto"/>
          <w:sz w:val="21"/>
          <w:szCs w:val="21"/>
          <w:highlight w:val="none"/>
        </w:rPr>
        <w:t>发布人：</w:t>
      </w:r>
      <w:r>
        <w:rPr>
          <w:rFonts w:hint="eastAsia"/>
          <w:color w:val="auto"/>
          <w:sz w:val="21"/>
          <w:szCs w:val="21"/>
          <w:highlight w:val="none"/>
          <w:lang w:eastAsia="zh-CN"/>
        </w:rPr>
        <w:t>广东国仕工程咨询有限公司</w:t>
      </w: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r>
        <w:rPr>
          <w:rFonts w:hint="eastAsia" w:ascii="宋体" w:hAnsi="宋体"/>
          <w:color w:val="auto"/>
          <w:sz w:val="21"/>
          <w:szCs w:val="21"/>
          <w:highlight w:val="none"/>
        </w:rPr>
        <w:t xml:space="preserve">发布日期：2024年 </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 xml:space="preserve"> 日</w:t>
      </w: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pStyle w:val="6"/>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6"/>
        <w:rPr>
          <w:rFonts w:hint="eastAsia"/>
          <w:color w:val="auto"/>
          <w:highlight w:val="none"/>
          <w:lang w:val="en-US" w:eastAsia="zh-CN"/>
        </w:rPr>
      </w:pPr>
    </w:p>
    <w:p>
      <w:pPr>
        <w:spacing w:before="156" w:beforeLines="50" w:after="156" w:afterLines="50" w:line="360" w:lineRule="auto"/>
        <w:jc w:val="right"/>
        <w:outlineLvl w:val="0"/>
        <w:rPr>
          <w:rFonts w:hint="eastAsia" w:ascii="宋体" w:hAnsi="宋体" w:cs="宋体"/>
          <w:color w:val="auto"/>
          <w:sz w:val="21"/>
          <w:szCs w:val="21"/>
          <w:highlight w:val="none"/>
          <w:lang w:val="en-US" w:eastAsia="zh-CN"/>
        </w:rPr>
      </w:pPr>
    </w:p>
    <w:p>
      <w:pPr>
        <w:pStyle w:val="12"/>
        <w:rPr>
          <w:rFonts w:hint="eastAsia" w:ascii="宋体" w:hAnsi="宋体" w:cs="宋体"/>
          <w:color w:val="auto"/>
          <w:sz w:val="21"/>
          <w:szCs w:val="21"/>
          <w:highlight w:val="none"/>
          <w:lang w:val="en-US" w:eastAsia="zh-CN"/>
        </w:rPr>
      </w:pPr>
    </w:p>
    <w:p>
      <w:pPr>
        <w:pStyle w:val="5"/>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12"/>
        <w:rPr>
          <w:rFonts w:hint="eastAsia" w:ascii="宋体" w:hAnsi="宋体" w:cs="宋体"/>
          <w:color w:val="auto"/>
          <w:sz w:val="21"/>
          <w:szCs w:val="21"/>
          <w:highlight w:val="none"/>
          <w:lang w:val="en-US" w:eastAsia="zh-CN"/>
        </w:rPr>
      </w:pPr>
    </w:p>
    <w:p>
      <w:pPr>
        <w:pStyle w:val="5"/>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pStyle w:val="2"/>
        <w:rPr>
          <w:rFonts w:hint="eastAsia" w:ascii="宋体" w:hAnsi="宋体" w:cs="宋体"/>
          <w:color w:val="auto"/>
          <w:sz w:val="21"/>
          <w:szCs w:val="21"/>
          <w:highlight w:val="none"/>
          <w:lang w:val="en-US" w:eastAsia="zh-CN"/>
        </w:rPr>
      </w:pPr>
    </w:p>
    <w:p>
      <w:pPr>
        <w:rPr>
          <w:rFonts w:hint="eastAsia"/>
          <w:color w:val="auto"/>
          <w:lang w:val="en-US" w:eastAsia="zh-CN"/>
        </w:rPr>
      </w:pPr>
    </w:p>
    <w:p>
      <w:pPr>
        <w:pStyle w:val="5"/>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rPr>
          <w:rFonts w:hint="eastAsia" w:ascii="宋体" w:hAnsi="宋体" w:cs="宋体"/>
          <w:color w:val="auto"/>
          <w:sz w:val="21"/>
          <w:szCs w:val="21"/>
          <w:highlight w:val="none"/>
          <w:lang w:val="en-US" w:eastAsia="zh-CN"/>
        </w:rPr>
      </w:pPr>
    </w:p>
    <w:p>
      <w:pPr>
        <w:spacing w:before="156" w:beforeLines="50" w:after="156" w:afterLines="50" w:line="360" w:lineRule="auto"/>
        <w:jc w:val="center"/>
        <w:outlineLvl w:val="0"/>
        <w:rPr>
          <w:rFonts w:hint="eastAsia" w:ascii="宋体" w:hAnsi="宋体" w:cs="宋体"/>
          <w:color w:val="auto"/>
          <w:sz w:val="21"/>
          <w:szCs w:val="21"/>
          <w:highlight w:val="none"/>
          <w:lang w:val="en-US" w:eastAsia="zh-CN"/>
        </w:rPr>
      </w:pPr>
    </w:p>
    <w:p>
      <w:pPr>
        <w:spacing w:before="156" w:beforeLines="50" w:after="156" w:afterLines="50" w:line="360" w:lineRule="auto"/>
        <w:jc w:val="center"/>
        <w:outlineLvl w:val="0"/>
        <w:rPr>
          <w:b/>
          <w:bCs/>
          <w:color w:val="auto"/>
          <w:sz w:val="28"/>
          <w:szCs w:val="28"/>
          <w:highlight w:val="none"/>
        </w:rPr>
      </w:pPr>
      <w:r>
        <w:rPr>
          <w:rFonts w:hint="eastAsia" w:ascii="宋体" w:hAnsi="宋体" w:cs="宋体"/>
          <w:color w:val="auto"/>
          <w:sz w:val="21"/>
          <w:szCs w:val="21"/>
          <w:highlight w:val="none"/>
          <w:lang w:val="en-US" w:eastAsia="zh-CN"/>
        </w:rPr>
        <w:t xml:space="preserve"> </w:t>
      </w:r>
      <w:r>
        <w:rPr>
          <w:b/>
          <w:bCs/>
          <w:color w:val="auto"/>
          <w:sz w:val="28"/>
          <w:szCs w:val="28"/>
          <w:highlight w:val="none"/>
        </w:rPr>
        <w:t>第</w:t>
      </w:r>
      <w:r>
        <w:rPr>
          <w:rFonts w:hint="eastAsia"/>
          <w:b/>
          <w:bCs/>
          <w:color w:val="auto"/>
          <w:sz w:val="28"/>
          <w:szCs w:val="28"/>
          <w:highlight w:val="none"/>
        </w:rPr>
        <w:t>二</w:t>
      </w:r>
      <w:r>
        <w:rPr>
          <w:b/>
          <w:bCs/>
          <w:color w:val="auto"/>
          <w:sz w:val="28"/>
          <w:szCs w:val="28"/>
          <w:highlight w:val="none"/>
        </w:rPr>
        <w:t>章</w:t>
      </w:r>
      <w:r>
        <w:rPr>
          <w:rFonts w:hint="eastAsia"/>
          <w:b/>
          <w:bCs/>
          <w:color w:val="auto"/>
          <w:sz w:val="28"/>
          <w:szCs w:val="28"/>
          <w:highlight w:val="none"/>
        </w:rPr>
        <w:t xml:space="preserve"> </w:t>
      </w:r>
      <w:r>
        <w:rPr>
          <w:b/>
          <w:bCs/>
          <w:color w:val="auto"/>
          <w:sz w:val="28"/>
          <w:szCs w:val="28"/>
          <w:highlight w:val="none"/>
        </w:rPr>
        <w:t>投标资料表</w:t>
      </w:r>
      <w:bookmarkEnd w:id="6"/>
      <w:bookmarkEnd w:id="7"/>
      <w:bookmarkEnd w:id="8"/>
    </w:p>
    <w:p>
      <w:pPr>
        <w:spacing w:line="360" w:lineRule="auto"/>
        <w:ind w:right="-174" w:rightChars="-83" w:firstLine="424" w:firstLineChars="202"/>
        <w:rPr>
          <w:color w:val="auto"/>
          <w:highlight w:val="none"/>
        </w:rPr>
      </w:pPr>
      <w:r>
        <w:rPr>
          <w:rFonts w:hint="eastAsia"/>
          <w:color w:val="auto"/>
          <w:highlight w:val="none"/>
        </w:rPr>
        <w:t>说明：该资料表的条款项号是与《投标人须知》条款项号对应的条款，是对《投标人须知》补充、修改和完善，如果有矛盾的话，应以本资料表为准。</w:t>
      </w:r>
    </w:p>
    <w:tbl>
      <w:tblPr>
        <w:tblStyle w:val="22"/>
        <w:tblW w:w="95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21"/>
        <w:gridCol w:w="60"/>
        <w:gridCol w:w="6699"/>
        <w:gridCol w:w="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4" w:type="dxa"/>
            <w:vAlign w:val="center"/>
          </w:tcPr>
          <w:p>
            <w:pPr>
              <w:adjustRightInd w:val="0"/>
              <w:snapToGrid w:val="0"/>
              <w:spacing w:line="320" w:lineRule="exact"/>
              <w:jc w:val="center"/>
              <w:rPr>
                <w:rFonts w:ascii="宋体" w:hAnsi="宋体"/>
                <w:b/>
                <w:color w:val="auto"/>
                <w:szCs w:val="21"/>
                <w:highlight w:val="none"/>
              </w:rPr>
            </w:pPr>
            <w:r>
              <w:rPr>
                <w:rFonts w:ascii="宋体" w:hAnsi="宋体"/>
                <w:b/>
                <w:color w:val="auto"/>
                <w:szCs w:val="21"/>
                <w:highlight w:val="none"/>
              </w:rPr>
              <w:t>条款号</w:t>
            </w:r>
          </w:p>
        </w:tc>
        <w:tc>
          <w:tcPr>
            <w:tcW w:w="1921" w:type="dxa"/>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6789" w:type="dxa"/>
            <w:gridSpan w:val="3"/>
            <w:vAlign w:val="center"/>
          </w:tcPr>
          <w:p>
            <w:pPr>
              <w:adjustRightInd w:val="0"/>
              <w:snapToGrid w:val="0"/>
              <w:spacing w:line="320" w:lineRule="exact"/>
              <w:jc w:val="center"/>
              <w:rPr>
                <w:rFonts w:ascii="宋体" w:hAnsi="宋体"/>
                <w:b/>
                <w:color w:val="auto"/>
                <w:szCs w:val="21"/>
                <w:highlight w:val="none"/>
              </w:rPr>
            </w:pPr>
            <w:r>
              <w:rPr>
                <w:rFonts w:hint="eastAsia" w:ascii="宋体" w:hAnsi="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921" w:type="dxa"/>
            <w:vAlign w:val="center"/>
          </w:tcPr>
          <w:p>
            <w:pPr>
              <w:jc w:val="center"/>
              <w:rPr>
                <w:rFonts w:ascii="宋体" w:hAnsi="宋体" w:cs="宋体"/>
                <w:color w:val="auto"/>
                <w:szCs w:val="21"/>
                <w:highlight w:val="none"/>
              </w:rPr>
            </w:pPr>
            <w:r>
              <w:rPr>
                <w:rFonts w:ascii="宋体" w:hAnsi="宋体"/>
                <w:color w:val="auto"/>
                <w:szCs w:val="21"/>
                <w:highlight w:val="none"/>
              </w:rPr>
              <w:t>招标人名称</w:t>
            </w:r>
          </w:p>
        </w:tc>
        <w:tc>
          <w:tcPr>
            <w:tcW w:w="6789" w:type="dxa"/>
            <w:gridSpan w:val="3"/>
            <w:vAlign w:val="center"/>
          </w:tcPr>
          <w:p>
            <w:pPr>
              <w:rPr>
                <w:rFonts w:hint="eastAsia" w:ascii="宋体" w:hAnsi="宋体" w:eastAsia="宋体" w:cs="宋体"/>
                <w:color w:val="auto"/>
                <w:szCs w:val="21"/>
                <w:highlight w:val="none"/>
                <w:lang w:eastAsia="zh-CN"/>
              </w:rPr>
            </w:pPr>
            <w:r>
              <w:rPr>
                <w:rFonts w:hint="eastAsia" w:ascii="宋体" w:hAnsi="宋体"/>
                <w:color w:val="auto"/>
                <w:kern w:val="28"/>
                <w:szCs w:val="21"/>
                <w:highlight w:val="none"/>
                <w:lang w:eastAsia="zh-CN"/>
              </w:rPr>
              <w:t>广州市昌记供应链有限公司（椰林集团）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4" w:type="dxa"/>
            <w:vMerge w:val="continue"/>
            <w:vAlign w:val="center"/>
          </w:tcPr>
          <w:p>
            <w:pPr>
              <w:jc w:val="center"/>
              <w:rPr>
                <w:rFonts w:ascii="宋体" w:hAnsi="宋体"/>
                <w:color w:val="auto"/>
                <w:szCs w:val="21"/>
                <w:highlight w:val="none"/>
              </w:rPr>
            </w:pPr>
          </w:p>
        </w:tc>
        <w:tc>
          <w:tcPr>
            <w:tcW w:w="1921" w:type="dxa"/>
            <w:vAlign w:val="center"/>
          </w:tcPr>
          <w:p>
            <w:pPr>
              <w:jc w:val="center"/>
              <w:rPr>
                <w:rFonts w:ascii="宋体" w:hAnsi="宋体"/>
                <w:color w:val="auto"/>
                <w:szCs w:val="21"/>
                <w:highlight w:val="none"/>
              </w:rPr>
            </w:pPr>
            <w:r>
              <w:rPr>
                <w:rFonts w:hint="eastAsia" w:ascii="宋体" w:hAnsi="宋体" w:cs="宋体"/>
                <w:color w:val="auto"/>
                <w:szCs w:val="21"/>
                <w:highlight w:val="none"/>
              </w:rPr>
              <w:t>资金来源</w:t>
            </w:r>
          </w:p>
        </w:tc>
        <w:tc>
          <w:tcPr>
            <w:tcW w:w="6789" w:type="dxa"/>
            <w:gridSpan w:val="3"/>
            <w:vAlign w:val="center"/>
          </w:tcPr>
          <w:p>
            <w:pPr>
              <w:rPr>
                <w:rFonts w:hint="default" w:ascii="宋体" w:hAnsi="宋体" w:eastAsia="宋体"/>
                <w:color w:val="auto"/>
                <w:kern w:val="28"/>
                <w:szCs w:val="21"/>
                <w:highlight w:val="none"/>
                <w:lang w:val="en-US" w:eastAsia="zh-CN"/>
              </w:rPr>
            </w:pPr>
            <w:r>
              <w:rPr>
                <w:rFonts w:hint="eastAsia" w:ascii="宋体" w:hAnsi="宋体" w:cs="宋体"/>
                <w:color w:val="auto"/>
                <w:szCs w:val="21"/>
                <w:highlight w:val="none"/>
                <w:lang w:val="en-US" w:eastAsia="zh-CN"/>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招标代理机构</w:t>
            </w:r>
          </w:p>
        </w:tc>
        <w:tc>
          <w:tcPr>
            <w:tcW w:w="6789" w:type="dxa"/>
            <w:gridSpan w:val="3"/>
            <w:vAlign w:val="center"/>
          </w:tcPr>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广东国仕工程咨询有限公司</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地址：广州市花都区新华街道碧桂园星港国际A1栋817室</w:t>
            </w:r>
          </w:p>
          <w:p>
            <w:pPr>
              <w:adjustRightInd w:val="0"/>
              <w:snapToGrid w:val="0"/>
              <w:spacing w:line="320" w:lineRule="exact"/>
              <w:rPr>
                <w:rFonts w:hint="eastAsia" w:ascii="宋体" w:hAnsi="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刘工  </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020-36883728、15602400726</w:t>
            </w:r>
          </w:p>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1016777643</w:t>
            </w:r>
            <w:r>
              <w:rPr>
                <w:rFonts w:hint="eastAsia" w:ascii="宋体" w:hAnsi="宋体"/>
                <w:color w:val="auto"/>
                <w:szCs w:val="21"/>
                <w:highlight w:val="none"/>
              </w:rPr>
              <w:t>@qq.com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公告媒体</w:t>
            </w:r>
          </w:p>
        </w:tc>
        <w:tc>
          <w:tcPr>
            <w:tcW w:w="6789" w:type="dxa"/>
            <w:gridSpan w:val="3"/>
            <w:vAlign w:val="center"/>
          </w:tcPr>
          <w:p>
            <w:pPr>
              <w:wordWrap w:val="0"/>
              <w:adjustRightInd w:val="0"/>
              <w:snapToGrid w:val="0"/>
              <w:spacing w:line="320" w:lineRule="exact"/>
              <w:rPr>
                <w:rFonts w:ascii="宋体" w:hAnsi="宋体"/>
                <w:color w:val="auto"/>
                <w:szCs w:val="21"/>
                <w:highlight w:val="none"/>
              </w:rPr>
            </w:pPr>
            <w:r>
              <w:rPr>
                <w:rFonts w:hint="eastAsia" w:ascii="宋体"/>
                <w:bCs/>
                <w:color w:val="auto"/>
                <w:szCs w:val="20"/>
                <w:highlight w:val="none"/>
              </w:rPr>
              <w:t>本项目相关公告在</w:t>
            </w:r>
            <w:r>
              <w:rPr>
                <w:rFonts w:hint="eastAsia" w:ascii="宋体"/>
                <w:bCs/>
                <w:color w:val="auto"/>
                <w:szCs w:val="20"/>
                <w:highlight w:val="none"/>
                <w:lang w:val="en-US" w:eastAsia="zh-CN"/>
              </w:rPr>
              <w:t>广东国仕工程咨询有限公司（http://www.gdguoshi.com/）</w:t>
            </w:r>
            <w:r>
              <w:rPr>
                <w:rFonts w:hint="eastAsia" w:ascii="宋体" w:hAnsi="宋体"/>
                <w:bCs/>
                <w:color w:val="auto"/>
                <w:szCs w:val="21"/>
                <w:highlight w:val="none"/>
              </w:rPr>
              <w:t>上公布,</w:t>
            </w:r>
            <w:r>
              <w:rPr>
                <w:rFonts w:hint="eastAsia" w:ascii="宋体"/>
                <w:bCs/>
                <w:color w:val="auto"/>
                <w:szCs w:val="20"/>
                <w:highlight w:val="none"/>
              </w:rPr>
              <w:t>公布之日即视为有效送达，不再另行通知</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8.1</w:t>
            </w:r>
          </w:p>
        </w:tc>
        <w:tc>
          <w:tcPr>
            <w:tcW w:w="1921"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集中答疑会或现场考察</w:t>
            </w:r>
          </w:p>
        </w:tc>
        <w:tc>
          <w:tcPr>
            <w:tcW w:w="6789" w:type="dxa"/>
            <w:gridSpan w:val="3"/>
            <w:vAlign w:val="center"/>
          </w:tcPr>
          <w:p>
            <w:pPr>
              <w:adjustRightInd w:val="0"/>
              <w:snapToGrid w:val="0"/>
              <w:spacing w:line="380" w:lineRule="exact"/>
              <w:rPr>
                <w:ins w:id="0" w:author="杨镇珲" w:date="2024-10-29T14:52:00Z"/>
                <w:rFonts w:hint="eastAsia" w:ascii="宋体" w:hAnsi="宋体"/>
                <w:color w:val="auto"/>
                <w:sz w:val="21"/>
                <w:szCs w:val="21"/>
                <w:highlight w:val="none"/>
                <w:u w:val="none"/>
                <w:lang w:val="en-US" w:eastAsia="zh-CN"/>
              </w:rPr>
            </w:pPr>
            <w:r>
              <w:rPr>
                <w:rFonts w:hint="eastAsia" w:ascii="宋体" w:hAnsi="宋体"/>
                <w:color w:val="auto"/>
                <w:sz w:val="21"/>
                <w:szCs w:val="21"/>
                <w:highlight w:val="none"/>
              </w:rPr>
              <w:t>答疑</w:t>
            </w:r>
            <w:r>
              <w:rPr>
                <w:rFonts w:hint="eastAsia" w:ascii="宋体" w:hAnsi="宋体"/>
                <w:color w:val="auto"/>
                <w:sz w:val="21"/>
                <w:szCs w:val="21"/>
                <w:highlight w:val="none"/>
                <w:lang w:val="en-US" w:eastAsia="zh-CN"/>
              </w:rPr>
              <w:t>：投标人可以书面形式将疑问发送至招标代理邮</w:t>
            </w:r>
            <w:r>
              <w:rPr>
                <w:rFonts w:hint="eastAsia" w:ascii="宋体" w:hAnsi="宋体"/>
                <w:color w:val="auto"/>
                <w:sz w:val="21"/>
                <w:szCs w:val="21"/>
                <w:highlight w:val="none"/>
                <w:u w:val="none"/>
                <w:lang w:val="en-US" w:eastAsia="zh-CN"/>
              </w:rPr>
              <w:t>箱</w:t>
            </w:r>
            <w:r>
              <w:rPr>
                <w:rFonts w:hint="eastAsia" w:ascii="宋体" w:hAnsi="宋体" w:eastAsia="宋体" w:cs="Times New Roman"/>
                <w:color w:val="auto"/>
                <w:sz w:val="21"/>
                <w:szCs w:val="21"/>
                <w:highlight w:val="none"/>
                <w:u w:val="none"/>
                <w:lang w:val="en-US" w:eastAsia="zh-CN"/>
              </w:rPr>
              <w:t>，招标代理以书面回复。</w:t>
            </w:r>
          </w:p>
          <w:p>
            <w:pPr>
              <w:pStyle w:val="6"/>
              <w:ind w:left="0" w:leftChars="0" w:firstLine="0" w:firstLineChars="0"/>
              <w:rPr>
                <w:rFonts w:hint="default"/>
                <w:color w:val="auto"/>
                <w:lang w:val="en-US" w:eastAsia="zh-CN"/>
              </w:rPr>
            </w:pPr>
            <w:r>
              <w:rPr>
                <w:rFonts w:hint="eastAsia" w:ascii="宋体" w:hAnsi="宋体"/>
                <w:color w:val="auto"/>
                <w:sz w:val="21"/>
                <w:szCs w:val="21"/>
                <w:highlight w:val="none"/>
              </w:rPr>
              <w:t>现场考察：</w:t>
            </w:r>
            <w:r>
              <w:rPr>
                <w:rFonts w:hint="eastAsia" w:ascii="宋体" w:hAnsi="宋体"/>
                <w:color w:val="auto"/>
                <w:sz w:val="21"/>
                <w:szCs w:val="21"/>
                <w:highlight w:val="none"/>
                <w:lang w:val="en-US" w:eastAsia="zh-CN"/>
              </w:rPr>
              <w:t>自行</w:t>
            </w:r>
            <w:r>
              <w:rPr>
                <w:rFonts w:hint="eastAsia" w:ascii="宋体" w:hAnsi="宋体"/>
                <w:color w:val="auto"/>
                <w:sz w:val="21"/>
                <w:szCs w:val="21"/>
                <w:highlight w:val="none"/>
              </w:rPr>
              <w:t>现场考察</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现场</w:t>
            </w:r>
            <w:r>
              <w:rPr>
                <w:rFonts w:hint="eastAsia" w:ascii="宋体" w:hAnsi="宋体"/>
                <w:color w:val="auto"/>
                <w:sz w:val="21"/>
                <w:szCs w:val="21"/>
                <w:highlight w:val="none"/>
                <w:lang w:val="en-US" w:eastAsia="zh-CN"/>
              </w:rPr>
              <w:t>联系人：江工，联系电话：15113893392）</w:t>
            </w:r>
            <w:r>
              <w:rPr>
                <w:rFonts w:hint="eastAsia" w:ascii="宋体" w:hAnsi="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564" w:type="dxa"/>
            <w:gridSpan w:val="5"/>
            <w:vAlign w:val="center"/>
          </w:tcPr>
          <w:p>
            <w:pPr>
              <w:jc w:val="center"/>
              <w:rPr>
                <w:rFonts w:ascii="宋体" w:hAnsi="宋体"/>
                <w:b/>
                <w:color w:val="auto"/>
                <w:szCs w:val="21"/>
                <w:highlight w:val="none"/>
              </w:rPr>
            </w:pPr>
            <w:r>
              <w:rPr>
                <w:rFonts w:ascii="宋体" w:hAnsi="宋体"/>
                <w:b/>
                <w:color w:val="auto"/>
                <w:szCs w:val="21"/>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w:t>
            </w:r>
          </w:p>
        </w:tc>
        <w:tc>
          <w:tcPr>
            <w:tcW w:w="1921" w:type="dxa"/>
            <w:vAlign w:val="center"/>
          </w:tcPr>
          <w:p>
            <w:pPr>
              <w:adjustRightInd w:val="0"/>
              <w:snapToGrid w:val="0"/>
              <w:spacing w:line="32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投标报价</w:t>
            </w:r>
            <w:r>
              <w:rPr>
                <w:rFonts w:hint="eastAsia" w:ascii="宋体" w:hAnsi="宋体"/>
                <w:color w:val="auto"/>
                <w:szCs w:val="21"/>
                <w:highlight w:val="none"/>
                <w:lang w:val="en-US" w:eastAsia="zh-CN"/>
              </w:rPr>
              <w:t>要求</w:t>
            </w:r>
          </w:p>
        </w:tc>
        <w:tc>
          <w:tcPr>
            <w:tcW w:w="6789" w:type="dxa"/>
            <w:gridSpan w:val="3"/>
            <w:vAlign w:val="center"/>
          </w:tcPr>
          <w:p>
            <w:pPr>
              <w:numPr>
                <w:ilvl w:val="0"/>
                <w:numId w:val="5"/>
              </w:numPr>
              <w:adjustRightInd w:val="0"/>
              <w:snapToGrid w:val="0"/>
              <w:spacing w:line="320" w:lineRule="exact"/>
              <w:rPr>
                <w:rFonts w:hint="eastAsia"/>
                <w:color w:val="auto"/>
                <w:highlight w:val="none"/>
              </w:rPr>
            </w:pPr>
            <w:r>
              <w:rPr>
                <w:color w:val="auto"/>
                <w:highlight w:val="none"/>
              </w:rPr>
              <w:t>报价形式</w:t>
            </w:r>
            <w:r>
              <w:rPr>
                <w:rFonts w:hint="eastAsia"/>
                <w:color w:val="auto"/>
                <w:highlight w:val="none"/>
                <w:lang w:eastAsia="zh-CN"/>
              </w:rPr>
              <w:t>：</w:t>
            </w:r>
            <w:r>
              <w:rPr>
                <w:rFonts w:hint="eastAsia"/>
                <w:b/>
                <w:bCs/>
                <w:color w:val="auto"/>
                <w:highlight w:val="none"/>
                <w:lang w:eastAsia="zh-CN"/>
              </w:rPr>
              <w:t>下浮率</w:t>
            </w:r>
            <w:r>
              <w:rPr>
                <w:rFonts w:hint="eastAsia"/>
                <w:color w:val="auto"/>
                <w:highlight w:val="none"/>
                <w:lang w:val="en-US" w:eastAsia="zh-CN"/>
              </w:rPr>
              <w:t xml:space="preserve">  </w:t>
            </w:r>
          </w:p>
          <w:p>
            <w:pPr>
              <w:numPr>
                <w:ilvl w:val="0"/>
                <w:numId w:val="5"/>
              </w:numPr>
              <w:adjustRightInd w:val="0"/>
              <w:snapToGrid w:val="0"/>
              <w:spacing w:line="320" w:lineRule="exact"/>
              <w:rPr>
                <w:rFonts w:hint="eastAsia"/>
                <w:color w:val="auto"/>
                <w:sz w:val="21"/>
                <w:szCs w:val="21"/>
                <w:highlight w:val="none"/>
              </w:rPr>
            </w:pPr>
            <w:r>
              <w:rPr>
                <w:rFonts w:hint="eastAsia" w:ascii="宋体" w:hAnsi="宋体"/>
                <w:color w:val="auto"/>
                <w:sz w:val="21"/>
                <w:szCs w:val="21"/>
                <w:highlight w:val="none"/>
              </w:rPr>
              <w:t>投标报价</w:t>
            </w:r>
            <w:r>
              <w:rPr>
                <w:rFonts w:hint="eastAsia" w:ascii="宋体" w:hAnsi="宋体"/>
                <w:color w:val="auto"/>
                <w:sz w:val="21"/>
                <w:szCs w:val="21"/>
                <w:highlight w:val="none"/>
                <w:lang w:val="en-US" w:eastAsia="zh-CN"/>
              </w:rPr>
              <w:t>要求：</w:t>
            </w:r>
          </w:p>
          <w:p>
            <w:pPr>
              <w:numPr>
                <w:ilvl w:val="0"/>
                <w:numId w:val="0"/>
              </w:numPr>
              <w:adjustRightInd w:val="0"/>
              <w:snapToGrid w:val="0"/>
              <w:spacing w:line="320" w:lineRule="exact"/>
              <w:rPr>
                <w:rFonts w:hint="eastAsia"/>
                <w:color w:val="auto"/>
                <w:sz w:val="21"/>
                <w:szCs w:val="21"/>
                <w:highlight w:val="none"/>
                <w:lang w:val="en-US" w:eastAsia="zh-CN"/>
              </w:rPr>
            </w:pPr>
            <w:r>
              <w:rPr>
                <w:rFonts w:hint="eastAsia"/>
                <w:color w:val="auto"/>
                <w:sz w:val="21"/>
                <w:szCs w:val="21"/>
                <w:highlight w:val="none"/>
                <w:lang w:val="en-US" w:eastAsia="zh-CN"/>
              </w:rPr>
              <w:t>2.1投标人应根据企业自身实力报出统一的投标单价下浮率b%。下浮率b值为固定值，不得为区间值，b值精确到小数点后两位，b值范围：0%≤b%≤100%，即投标人报价按单价下浮0%-100%。按单价的下浮率进行结算，即实际支付的</w:t>
            </w:r>
            <w:r>
              <w:rPr>
                <w:rFonts w:hint="eastAsia" w:ascii="宋体" w:hAnsi="宋体" w:cs="宋体"/>
                <w:bCs/>
                <w:color w:val="auto"/>
                <w:szCs w:val="20"/>
                <w:highlight w:val="none"/>
                <w:lang w:val="en-US" w:eastAsia="zh-CN"/>
              </w:rPr>
              <w:t>结算价</w:t>
            </w:r>
            <w:r>
              <w:rPr>
                <w:rFonts w:hint="eastAsia"/>
                <w:color w:val="auto"/>
                <w:sz w:val="21"/>
                <w:szCs w:val="21"/>
                <w:highlight w:val="none"/>
                <w:lang w:val="en-US" w:eastAsia="zh-CN"/>
              </w:rPr>
              <w:t>=</w:t>
            </w:r>
            <w:r>
              <w:rPr>
                <w:rFonts w:hint="eastAsia" w:ascii="宋体" w:hAnsi="宋体" w:eastAsia="宋体" w:cs="宋体"/>
                <w:bCs/>
                <w:color w:val="auto"/>
                <w:szCs w:val="20"/>
                <w:highlight w:val="none"/>
                <w:u w:val="none"/>
                <w:lang w:val="en-US" w:eastAsia="zh-CN"/>
              </w:rPr>
              <w:t>实际</w:t>
            </w:r>
            <w:r>
              <w:rPr>
                <w:rFonts w:hint="eastAsia" w:ascii="宋体" w:hAnsi="宋体" w:cs="宋体"/>
                <w:bCs/>
                <w:color w:val="auto"/>
                <w:szCs w:val="20"/>
                <w:highlight w:val="none"/>
                <w:u w:val="none"/>
                <w:lang w:val="en-US" w:eastAsia="zh-CN"/>
              </w:rPr>
              <w:t>工程</w:t>
            </w:r>
            <w:r>
              <w:rPr>
                <w:rFonts w:hint="eastAsia" w:ascii="宋体" w:hAnsi="宋体" w:eastAsia="宋体" w:cs="宋体"/>
                <w:bCs/>
                <w:color w:val="auto"/>
                <w:szCs w:val="20"/>
                <w:highlight w:val="none"/>
                <w:u w:val="none"/>
                <w:lang w:val="en-US" w:eastAsia="zh-CN"/>
              </w:rPr>
              <w:t>量</w:t>
            </w:r>
            <w:r>
              <w:rPr>
                <w:rFonts w:hint="eastAsia"/>
                <w:color w:val="auto"/>
                <w:sz w:val="21"/>
                <w:szCs w:val="21"/>
                <w:highlight w:val="none"/>
                <w:lang w:val="en-US" w:eastAsia="zh-CN"/>
              </w:rPr>
              <w:t>×（最高单价限价×（1-b%））。</w:t>
            </w:r>
          </w:p>
          <w:p>
            <w:pPr>
              <w:numPr>
                <w:ilvl w:val="0"/>
                <w:numId w:val="0"/>
              </w:numPr>
              <w:adjustRightInd w:val="0"/>
              <w:snapToGrid w:val="0"/>
              <w:spacing w:line="320" w:lineRule="exact"/>
              <w:rPr>
                <w:rFonts w:hint="default" w:ascii="宋体" w:hAnsi="宋体" w:eastAsia="宋体" w:cs="宋体"/>
                <w:bCs/>
                <w:color w:val="auto"/>
                <w:szCs w:val="20"/>
                <w:highlight w:val="none"/>
                <w:lang w:val="en-US" w:eastAsia="zh-CN"/>
              </w:rPr>
            </w:pPr>
            <w:r>
              <w:rPr>
                <w:rFonts w:hint="eastAsia"/>
                <w:b w:val="0"/>
                <w:bCs w:val="0"/>
                <w:color w:val="auto"/>
                <w:sz w:val="21"/>
                <w:szCs w:val="21"/>
                <w:highlight w:val="none"/>
                <w:lang w:val="en-US" w:eastAsia="zh-CN"/>
              </w:rPr>
              <w:t>2.2</w:t>
            </w:r>
            <w:r>
              <w:rPr>
                <w:rFonts w:hint="eastAsia" w:ascii="宋体" w:hAnsi="宋体" w:eastAsia="宋体" w:cs="宋体"/>
                <w:bCs/>
                <w:color w:val="auto"/>
                <w:szCs w:val="20"/>
                <w:highlight w:val="none"/>
                <w:lang w:val="en-US" w:eastAsia="zh-CN"/>
              </w:rPr>
              <w:t>投标人所投价格包括但不限于：设备费、人工费、材料费、技术服务费、各项措施费(包括但不限于安全文明施</w:t>
            </w:r>
            <w:r>
              <w:rPr>
                <w:rFonts w:hint="eastAsia" w:ascii="宋体" w:hAnsi="宋体" w:cs="宋体"/>
                <w:bCs/>
                <w:color w:val="auto"/>
                <w:szCs w:val="20"/>
                <w:highlight w:val="none"/>
                <w:lang w:val="en-US" w:eastAsia="zh-CN"/>
              </w:rPr>
              <w:t xml:space="preserve">  </w:t>
            </w:r>
            <w:r>
              <w:rPr>
                <w:rFonts w:hint="eastAsia" w:ascii="宋体" w:hAnsi="宋体" w:eastAsia="宋体" w:cs="宋体"/>
                <w:bCs/>
                <w:color w:val="auto"/>
                <w:szCs w:val="20"/>
                <w:highlight w:val="none"/>
                <w:lang w:val="en-US" w:eastAsia="zh-CN"/>
              </w:rPr>
              <w:t>工、临水临电安装及使用、机械设备进出场、工作面清理及整理、检测配载、工作搭架、工作棚、焊接等相关费用)、设备进退场费、检(监)测费、报告编写费、资料整理费、报告打印及装订费、工程验收配合费水电费、配合协调费、工程保险费、税金、保险费、风险费、管理费、规费、利润等全部费用。</w:t>
            </w:r>
          </w:p>
          <w:p>
            <w:pPr>
              <w:numPr>
                <w:ilvl w:val="0"/>
                <w:numId w:val="5"/>
              </w:numPr>
              <w:adjustRightInd w:val="0"/>
              <w:snapToGrid w:val="0"/>
              <w:spacing w:line="320" w:lineRule="exact"/>
              <w:rPr>
                <w:color w:val="auto"/>
                <w:highlight w:val="none"/>
              </w:rPr>
            </w:pPr>
            <w:r>
              <w:rPr>
                <w:rFonts w:hint="eastAsia"/>
                <w:color w:val="auto"/>
                <w:highlight w:val="none"/>
              </w:rPr>
              <w:t>投标报价中不得包含招标文件要求以外的内容，否则，在评标时不予核减。</w:t>
            </w:r>
          </w:p>
          <w:p>
            <w:pPr>
              <w:numPr>
                <w:ilvl w:val="0"/>
                <w:numId w:val="5"/>
              </w:numPr>
              <w:adjustRightInd w:val="0"/>
              <w:snapToGrid w:val="0"/>
              <w:spacing w:line="320" w:lineRule="exact"/>
              <w:ind w:left="0" w:leftChars="0" w:firstLine="0" w:firstLineChars="0"/>
              <w:rPr>
                <w:rFonts w:hint="eastAsia"/>
                <w:color w:val="auto"/>
                <w:highlight w:val="none"/>
              </w:rPr>
            </w:pPr>
            <w:r>
              <w:rPr>
                <w:rFonts w:hint="eastAsia"/>
                <w:color w:val="auto"/>
                <w:highlight w:val="none"/>
              </w:rPr>
              <w:t>若投标报价有缺漏项的，缺漏项部分的价格视为已包含在投标报价中，中标后不作任何调整。</w:t>
            </w:r>
          </w:p>
          <w:p>
            <w:pPr>
              <w:numPr>
                <w:ilvl w:val="0"/>
                <w:numId w:val="5"/>
              </w:numPr>
              <w:adjustRightInd w:val="0"/>
              <w:snapToGrid w:val="0"/>
              <w:spacing w:line="320" w:lineRule="exact"/>
              <w:rPr>
                <w:color w:val="auto"/>
                <w:highlight w:val="none"/>
              </w:rPr>
            </w:pPr>
            <w:r>
              <w:rPr>
                <w:rFonts w:hint="eastAsia"/>
                <w:color w:val="auto"/>
                <w:highlight w:val="none"/>
                <w:lang w:val="en-US" w:eastAsia="zh-CN"/>
              </w:rPr>
              <w:t>所有费用已包含在本次项目内，投标人结合自身情况进行报价，招标人不再另行支付其他费用,</w:t>
            </w:r>
            <w:r>
              <w:rPr>
                <w:rFonts w:hint="eastAsia" w:ascii="宋体" w:hAnsi="宋体" w:eastAsia="宋体" w:cs="宋体"/>
                <w:color w:val="auto"/>
                <w:sz w:val="21"/>
                <w:szCs w:val="21"/>
                <w:highlight w:val="none"/>
                <w:lang w:val="en-US" w:eastAsia="zh-CN"/>
              </w:rPr>
              <w:t>投标人</w:t>
            </w:r>
            <w:r>
              <w:rPr>
                <w:rFonts w:hint="eastAsia"/>
                <w:color w:val="auto"/>
                <w:highlight w:val="none"/>
                <w:lang w:val="en-US" w:eastAsia="zh-CN"/>
              </w:rPr>
              <w:t>应向中华人民共和国政府缴纳的增值税和其它税等全部税费以及履行合同所需的费用、所有风险、责任等其他一切隐含及不可预见的费用。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12.2.1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投标分项报价</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12.3</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报价是唯一或固定不变</w:t>
            </w:r>
          </w:p>
        </w:tc>
        <w:tc>
          <w:tcPr>
            <w:tcW w:w="6789" w:type="dxa"/>
            <w:gridSpan w:val="3"/>
            <w:vAlign w:val="center"/>
          </w:tcPr>
          <w:p>
            <w:pPr>
              <w:adjustRightInd w:val="0"/>
              <w:snapToGrid w:val="0"/>
              <w:spacing w:line="320" w:lineRule="exact"/>
              <w:rPr>
                <w:color w:val="auto"/>
                <w:highlight w:val="none"/>
              </w:rPr>
            </w:pPr>
            <w:r>
              <w:rPr>
                <w:rFonts w:hint="eastAsia"/>
                <w:color w:val="auto"/>
                <w:highlight w:val="none"/>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12.4</w:t>
            </w:r>
          </w:p>
        </w:tc>
        <w:tc>
          <w:tcPr>
            <w:tcW w:w="1921" w:type="dxa"/>
            <w:vAlign w:val="center"/>
          </w:tcPr>
          <w:p>
            <w:pPr>
              <w:adjustRightInd w:val="0"/>
              <w:snapToGrid w:val="0"/>
              <w:spacing w:line="320" w:lineRule="exact"/>
              <w:jc w:val="center"/>
              <w:rPr>
                <w:rFonts w:hint="eastAsia" w:ascii="宋体" w:hAnsi="宋体"/>
                <w:color w:val="auto"/>
                <w:szCs w:val="21"/>
                <w:highlight w:val="none"/>
              </w:rPr>
            </w:pPr>
            <w:r>
              <w:rPr>
                <w:rFonts w:hint="eastAsia" w:ascii="宋体" w:hAnsi="宋体" w:eastAsia="宋体" w:cs="Times New Roman"/>
                <w:color w:val="auto"/>
                <w:sz w:val="21"/>
                <w:szCs w:val="21"/>
                <w:highlight w:val="none"/>
              </w:rPr>
              <w:t>承包及结算方式</w:t>
            </w:r>
          </w:p>
        </w:tc>
        <w:tc>
          <w:tcPr>
            <w:tcW w:w="6789" w:type="dxa"/>
            <w:gridSpan w:val="3"/>
            <w:vAlign w:val="center"/>
          </w:tcPr>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420" w:firstLineChars="200"/>
              <w:textAlignment w:val="auto"/>
              <w:rPr>
                <w:rFonts w:hint="eastAsia"/>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1.承包方式:</w:t>
            </w:r>
            <w:r>
              <w:rPr>
                <w:rFonts w:hint="eastAsia"/>
                <w:color w:val="auto"/>
                <w:sz w:val="21"/>
                <w:szCs w:val="21"/>
                <w:highlight w:val="none"/>
              </w:rPr>
              <w:t>工程量暂定，综合单价包干</w:t>
            </w:r>
            <w:r>
              <w:rPr>
                <w:rFonts w:hint="eastAsia"/>
                <w:color w:val="auto"/>
                <w:sz w:val="21"/>
                <w:szCs w:val="21"/>
                <w:highlight w:val="none"/>
                <w:lang w:val="en-US" w:eastAsia="zh-CN"/>
              </w:rPr>
              <w:t>（含6%增值税）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color w:val="auto"/>
                <w:highlight w:val="none"/>
              </w:rPr>
            </w:pPr>
            <w:r>
              <w:rPr>
                <w:rFonts w:hint="eastAsia" w:ascii="宋体" w:hAnsi="宋体" w:eastAsia="宋体" w:cs="宋体"/>
                <w:bCs/>
                <w:color w:val="auto"/>
                <w:sz w:val="21"/>
                <w:szCs w:val="20"/>
                <w:highlight w:val="none"/>
                <w:lang w:val="en-US" w:eastAsia="zh-CN"/>
              </w:rPr>
              <w:t>2.结算方式:</w:t>
            </w:r>
            <w:r>
              <w:rPr>
                <w:rFonts w:hint="eastAsia" w:ascii="宋体" w:hAnsi="宋体" w:cs="宋体"/>
                <w:bCs/>
                <w:color w:val="auto"/>
                <w:szCs w:val="20"/>
                <w:highlight w:val="none"/>
                <w:lang w:val="en-US" w:eastAsia="zh-CN"/>
              </w:rPr>
              <w:t>结算价</w:t>
            </w:r>
            <w:r>
              <w:rPr>
                <w:rFonts w:hint="eastAsia" w:ascii="宋体" w:hAnsi="宋体" w:cs="宋体"/>
                <w:bCs/>
                <w:color w:val="auto"/>
                <w:szCs w:val="20"/>
                <w:highlight w:val="none"/>
                <w:u w:val="none"/>
                <w:lang w:val="en-US" w:eastAsia="zh-CN"/>
              </w:rPr>
              <w:t>=</w:t>
            </w:r>
            <w:r>
              <w:rPr>
                <w:rFonts w:hint="eastAsia" w:ascii="宋体" w:hAnsi="宋体" w:eastAsia="宋体" w:cs="宋体"/>
                <w:bCs/>
                <w:color w:val="auto"/>
                <w:szCs w:val="20"/>
                <w:highlight w:val="none"/>
                <w:u w:val="none"/>
                <w:lang w:val="en-US" w:eastAsia="zh-CN"/>
              </w:rPr>
              <w:t>实际</w:t>
            </w:r>
            <w:r>
              <w:rPr>
                <w:rFonts w:hint="eastAsia" w:ascii="宋体" w:hAnsi="宋体" w:cs="宋体"/>
                <w:bCs/>
                <w:color w:val="auto"/>
                <w:szCs w:val="20"/>
                <w:highlight w:val="none"/>
                <w:u w:val="none"/>
                <w:lang w:val="en-US" w:eastAsia="zh-CN"/>
              </w:rPr>
              <w:t>工程</w:t>
            </w:r>
            <w:r>
              <w:rPr>
                <w:rFonts w:hint="eastAsia" w:ascii="宋体" w:hAnsi="宋体" w:eastAsia="宋体" w:cs="宋体"/>
                <w:bCs/>
                <w:color w:val="auto"/>
                <w:szCs w:val="20"/>
                <w:highlight w:val="none"/>
                <w:u w:val="none"/>
                <w:lang w:val="en-US" w:eastAsia="zh-CN"/>
              </w:rPr>
              <w:t>量×</w:t>
            </w:r>
            <w:r>
              <w:rPr>
                <w:rFonts w:hint="eastAsia" w:ascii="宋体" w:hAnsi="宋体" w:eastAsia="宋体" w:cs="宋体"/>
                <w:b w:val="0"/>
                <w:bCs w:val="0"/>
                <w:color w:val="auto"/>
                <w:highlight w:val="none"/>
                <w:lang w:val="en-US" w:eastAsia="zh-CN"/>
              </w:rPr>
              <w:t>中标</w:t>
            </w:r>
            <w:r>
              <w:rPr>
                <w:rFonts w:hint="eastAsia" w:ascii="宋体" w:hAnsi="宋体" w:eastAsia="宋体" w:cs="宋体"/>
                <w:b w:val="0"/>
                <w:bCs w:val="0"/>
                <w:color w:val="auto"/>
                <w:highlight w:val="none"/>
              </w:rPr>
              <w:t>单价</w:t>
            </w:r>
            <w:r>
              <w:rPr>
                <w:rFonts w:hint="eastAsia" w:ascii="宋体" w:hAnsi="宋体" w:eastAsia="宋体" w:cs="宋体"/>
                <w:b w:val="0"/>
                <w:bCs w:val="0"/>
                <w:color w:val="auto"/>
                <w:highlight w:val="none"/>
                <w:lang w:eastAsia="zh-CN"/>
              </w:rPr>
              <w:t>，</w:t>
            </w:r>
            <w:r>
              <w:rPr>
                <w:rFonts w:hint="eastAsia" w:ascii="宋体" w:hAnsi="宋体" w:eastAsia="宋体" w:cs="Times New Roman"/>
                <w:b w:val="0"/>
                <w:bCs w:val="0"/>
                <w:color w:val="auto"/>
                <w:szCs w:val="21"/>
                <w:highlight w:val="none"/>
                <w:lang w:val="en-US" w:eastAsia="zh-CN"/>
              </w:rPr>
              <w:t>中标</w:t>
            </w:r>
            <w:r>
              <w:rPr>
                <w:rFonts w:hint="eastAsia" w:ascii="宋体" w:hAnsi="宋体" w:eastAsia="宋体" w:cs="Times New Roman"/>
                <w:b w:val="0"/>
                <w:bCs w:val="0"/>
                <w:color w:val="auto"/>
                <w:szCs w:val="21"/>
                <w:highlight w:val="none"/>
              </w:rPr>
              <w:t>单价</w:t>
            </w:r>
            <w:r>
              <w:rPr>
                <w:rFonts w:hint="eastAsia" w:ascii="宋体" w:hAnsi="宋体" w:eastAsia="宋体" w:cs="Times New Roman"/>
                <w:b w:val="0"/>
                <w:bCs w:val="0"/>
                <w:color w:val="auto"/>
                <w:szCs w:val="21"/>
                <w:highlight w:val="none"/>
                <w:lang w:val="en-US" w:eastAsia="zh-CN"/>
              </w:rPr>
              <w:t>=</w:t>
            </w:r>
            <w:r>
              <w:rPr>
                <w:rFonts w:hint="eastAsia" w:ascii="宋体" w:hAnsi="宋体" w:eastAsia="宋体" w:cs="宋体"/>
                <w:b w:val="0"/>
                <w:bCs w:val="0"/>
                <w:color w:val="auto"/>
                <w:szCs w:val="20"/>
                <w:highlight w:val="none"/>
                <w:lang w:val="en-US" w:eastAsia="zh-CN"/>
              </w:rPr>
              <w:t>最高单价限价×（1-中标下浮率%）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5</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备选方案</w:t>
            </w:r>
          </w:p>
        </w:tc>
        <w:tc>
          <w:tcPr>
            <w:tcW w:w="6789" w:type="dxa"/>
            <w:gridSpan w:val="3"/>
            <w:vAlign w:val="center"/>
          </w:tcPr>
          <w:p>
            <w:pPr>
              <w:adjustRightInd w:val="0"/>
              <w:snapToGrid w:val="0"/>
              <w:spacing w:line="320" w:lineRule="exact"/>
              <w:rPr>
                <w:rFonts w:ascii="宋体" w:hAnsi="宋体" w:cs="宋体"/>
                <w:color w:val="auto"/>
                <w:szCs w:val="21"/>
                <w:highlight w:val="none"/>
              </w:rPr>
            </w:pPr>
            <w:r>
              <w:rPr>
                <w:rFonts w:hint="eastAsia" w:ascii="宋体" w:hAnsi="宋体"/>
                <w:color w:val="auto"/>
                <w:szCs w:val="21"/>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4" w:type="dxa"/>
            <w:vAlign w:val="center"/>
          </w:tcPr>
          <w:p>
            <w:pPr>
              <w:adjustRightInd w:val="0"/>
              <w:snapToGrid w:val="0"/>
              <w:spacing w:line="32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12.</w:t>
            </w:r>
            <w:r>
              <w:rPr>
                <w:rFonts w:hint="eastAsia" w:ascii="宋体" w:hAnsi="宋体"/>
                <w:color w:val="auto"/>
                <w:szCs w:val="21"/>
                <w:highlight w:val="none"/>
                <w:lang w:val="en-US" w:eastAsia="zh-CN"/>
              </w:rPr>
              <w:t>6</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附加条件报价</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不允许附加条件报价，</w:t>
            </w:r>
            <w:r>
              <w:rPr>
                <w:rFonts w:hint="eastAsia" w:ascii="宋体" w:hAnsi="宋体" w:cs="宋体"/>
                <w:color w:val="auto"/>
                <w:szCs w:val="21"/>
                <w:highlight w:val="none"/>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6"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17.1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分包</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4"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.1</w:t>
            </w:r>
          </w:p>
        </w:tc>
        <w:tc>
          <w:tcPr>
            <w:tcW w:w="1921"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投标保证金</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本项目不收取投标保证金，招标文件有关投标保证金的条款均不适用。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jc w:val="center"/>
              <w:rPr>
                <w:rFonts w:ascii="宋体" w:hAnsi="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.1</w:t>
            </w:r>
          </w:p>
        </w:tc>
        <w:tc>
          <w:tcPr>
            <w:tcW w:w="1921" w:type="dxa"/>
            <w:vAlign w:val="center"/>
          </w:tcPr>
          <w:p>
            <w:pPr>
              <w:jc w:val="center"/>
              <w:rPr>
                <w:rFonts w:ascii="宋体" w:hAnsi="宋体"/>
                <w:color w:val="auto"/>
                <w:szCs w:val="21"/>
                <w:highlight w:val="none"/>
              </w:rPr>
            </w:pPr>
            <w:r>
              <w:rPr>
                <w:rFonts w:ascii="宋体" w:hAnsi="宋体"/>
                <w:color w:val="auto"/>
                <w:szCs w:val="21"/>
                <w:highlight w:val="none"/>
              </w:rPr>
              <w:t>投标有效期</w:t>
            </w:r>
          </w:p>
        </w:tc>
        <w:tc>
          <w:tcPr>
            <w:tcW w:w="6789" w:type="dxa"/>
            <w:gridSpan w:val="3"/>
            <w:vAlign w:val="center"/>
          </w:tcPr>
          <w:p>
            <w:pPr>
              <w:rPr>
                <w:rFonts w:ascii="宋体" w:hAnsi="宋体"/>
                <w:color w:val="auto"/>
                <w:szCs w:val="21"/>
                <w:highlight w:val="none"/>
              </w:rPr>
            </w:pPr>
            <w:r>
              <w:rPr>
                <w:rFonts w:hint="eastAsia" w:ascii="宋体" w:hAnsi="宋体"/>
                <w:color w:val="auto"/>
                <w:szCs w:val="21"/>
                <w:highlight w:val="none"/>
              </w:rPr>
              <w:t>90日历日（从投标截止之日计</w:t>
            </w:r>
            <w:r>
              <w:rPr>
                <w:rFonts w:hint="eastAsia" w:ascii="宋体" w:hAnsi="宋体"/>
                <w:color w:val="auto"/>
                <w:szCs w:val="21"/>
                <w:highlight w:val="none"/>
                <w:lang w:val="en-US" w:eastAsia="zh-CN"/>
              </w:rPr>
              <w:t>起</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20.1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ascii="宋体" w:hAnsi="宋体"/>
                <w:color w:val="auto"/>
                <w:szCs w:val="21"/>
                <w:highlight w:val="none"/>
              </w:rPr>
              <w:t>投标文件份数</w:t>
            </w:r>
          </w:p>
        </w:tc>
        <w:tc>
          <w:tcPr>
            <w:tcW w:w="6789" w:type="dxa"/>
            <w:gridSpan w:val="3"/>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投标文件装订成一册；</w:t>
            </w:r>
            <w:r>
              <w:rPr>
                <w:rFonts w:ascii="宋体" w:hAnsi="宋体"/>
                <w:color w:val="auto"/>
                <w:szCs w:val="21"/>
                <w:highlight w:val="none"/>
              </w:rPr>
              <w:t>正本一份，副本</w:t>
            </w:r>
            <w:r>
              <w:rPr>
                <w:rFonts w:hint="eastAsia" w:ascii="宋体" w:hAnsi="宋体"/>
                <w:color w:val="auto"/>
                <w:szCs w:val="21"/>
                <w:highlight w:val="none"/>
                <w:lang w:val="en-US" w:eastAsia="zh-CN"/>
              </w:rPr>
              <w:t>两</w:t>
            </w:r>
            <w:r>
              <w:rPr>
                <w:rFonts w:ascii="宋体" w:hAnsi="宋体"/>
                <w:color w:val="auto"/>
                <w:szCs w:val="21"/>
                <w:highlight w:val="none"/>
              </w:rPr>
              <w:t>份，</w:t>
            </w:r>
            <w:r>
              <w:rPr>
                <w:rFonts w:hint="eastAsia" w:ascii="宋体" w:hAnsi="宋体"/>
                <w:color w:val="auto"/>
                <w:szCs w:val="21"/>
                <w:highlight w:val="none"/>
              </w:rPr>
              <w:t>若正本与副本有不一致，以正本为准。</w:t>
            </w:r>
          </w:p>
          <w:p>
            <w:pPr>
              <w:adjustRightInd w:val="0"/>
              <w:snapToGrid w:val="0"/>
              <w:spacing w:line="320" w:lineRule="exact"/>
              <w:rPr>
                <w:rFonts w:hint="default" w:eastAsia="宋体"/>
                <w:color w:val="auto"/>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ascii="宋体" w:hAnsi="宋体"/>
                <w:color w:val="auto"/>
                <w:szCs w:val="21"/>
                <w:highlight w:val="none"/>
              </w:rPr>
              <w:t>电子文件</w:t>
            </w:r>
            <w:r>
              <w:rPr>
                <w:rFonts w:hint="eastAsia" w:ascii="宋体" w:hAnsi="宋体"/>
                <w:color w:val="auto"/>
                <w:szCs w:val="21"/>
                <w:highlight w:val="none"/>
              </w:rPr>
              <w:t>一</w:t>
            </w:r>
            <w:r>
              <w:rPr>
                <w:rFonts w:ascii="宋体" w:hAnsi="宋体"/>
                <w:color w:val="auto"/>
                <w:szCs w:val="21"/>
                <w:highlight w:val="none"/>
              </w:rPr>
              <w:t>份</w:t>
            </w:r>
            <w:r>
              <w:rPr>
                <w:rFonts w:hint="eastAsia" w:ascii="宋体" w:hAnsi="宋体"/>
                <w:color w:val="auto"/>
                <w:szCs w:val="21"/>
                <w:highlight w:val="none"/>
              </w:rPr>
              <w:t>（</w:t>
            </w:r>
            <w:r>
              <w:rPr>
                <w:rFonts w:hint="eastAsia" w:ascii="宋体" w:hAnsi="宋体"/>
                <w:color w:val="auto"/>
                <w:highlight w:val="none"/>
              </w:rPr>
              <w:t>不可加密）</w:t>
            </w: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564" w:type="dxa"/>
            <w:gridSpan w:val="5"/>
            <w:vAlign w:val="center"/>
          </w:tcPr>
          <w:p>
            <w:pPr>
              <w:jc w:val="center"/>
              <w:rPr>
                <w:rFonts w:ascii="宋体" w:hAnsi="宋体"/>
                <w:color w:val="auto"/>
                <w:szCs w:val="21"/>
                <w:highlight w:val="none"/>
              </w:rPr>
            </w:pPr>
            <w:r>
              <w:rPr>
                <w:rFonts w:hint="eastAsia" w:ascii="宋体" w:hAnsi="宋体"/>
                <w:b/>
                <w:color w:val="auto"/>
                <w:szCs w:val="21"/>
                <w:highlight w:val="none"/>
              </w:rPr>
              <w:t>五</w:t>
            </w:r>
            <w:r>
              <w:rPr>
                <w:rFonts w:ascii="宋体" w:hAnsi="宋体"/>
                <w:b/>
                <w:color w:val="auto"/>
                <w:szCs w:val="21"/>
                <w:highlight w:val="none"/>
              </w:rPr>
              <w:t>、授予合同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99" w:hRule="atLeast"/>
          <w:jc w:val="center"/>
        </w:trPr>
        <w:tc>
          <w:tcPr>
            <w:tcW w:w="854"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26.1</w:t>
            </w:r>
          </w:p>
        </w:tc>
        <w:tc>
          <w:tcPr>
            <w:tcW w:w="1921" w:type="dxa"/>
            <w:vAlign w:val="center"/>
          </w:tcPr>
          <w:p>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合同签订时间</w:t>
            </w:r>
          </w:p>
        </w:tc>
        <w:tc>
          <w:tcPr>
            <w:tcW w:w="6759" w:type="dxa"/>
            <w:gridSpan w:val="2"/>
            <w:vAlign w:val="center"/>
          </w:tcPr>
          <w:p>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64" w:type="dxa"/>
            <w:gridSpan w:val="5"/>
            <w:vAlign w:val="center"/>
          </w:tcPr>
          <w:p>
            <w:pPr>
              <w:jc w:val="center"/>
              <w:rPr>
                <w:rFonts w:ascii="宋体" w:hAnsi="宋体"/>
                <w:b/>
                <w:color w:val="auto"/>
                <w:szCs w:val="21"/>
                <w:highlight w:val="none"/>
              </w:rPr>
            </w:pPr>
            <w:r>
              <w:rPr>
                <w:rFonts w:hint="eastAsia" w:ascii="宋体" w:hAnsi="宋体"/>
                <w:b/>
                <w:color w:val="auto"/>
                <w:szCs w:val="21"/>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auto"/>
                <w:highlight w:val="none"/>
              </w:rPr>
            </w:pPr>
            <w:r>
              <w:rPr>
                <w:rFonts w:hint="eastAsia" w:ascii="宋体" w:hAnsi="宋体"/>
                <w:bCs/>
                <w:color w:val="auto"/>
                <w:highlight w:val="none"/>
              </w:rPr>
              <w:t>评标方法</w:t>
            </w:r>
          </w:p>
        </w:tc>
        <w:tc>
          <w:tcPr>
            <w:tcW w:w="6729" w:type="dxa"/>
            <w:gridSpan w:val="2"/>
            <w:vAlign w:val="center"/>
          </w:tcPr>
          <w:p>
            <w:pPr>
              <w:rPr>
                <w:rFonts w:hint="default" w:ascii="宋体" w:hAnsi="宋体" w:eastAsia="宋体"/>
                <w:color w:val="auto"/>
                <w:szCs w:val="21"/>
                <w:highlight w:val="none"/>
                <w:lang w:val="en-US" w:eastAsia="zh-CN"/>
              </w:rPr>
            </w:pPr>
            <w:r>
              <w:rPr>
                <w:rFonts w:hint="eastAsia" w:ascii="宋体" w:hAnsi="宋体"/>
                <w:b/>
                <w:bCs w:val="0"/>
                <w:color w:val="auto"/>
                <w:szCs w:val="21"/>
                <w:highlight w:val="none"/>
                <w:u w:val="single"/>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w:t>
            </w:r>
          </w:p>
        </w:tc>
        <w:tc>
          <w:tcPr>
            <w:tcW w:w="1981" w:type="dxa"/>
            <w:gridSpan w:val="2"/>
            <w:vAlign w:val="center"/>
          </w:tcPr>
          <w:p>
            <w:pPr>
              <w:jc w:val="center"/>
              <w:rPr>
                <w:rFonts w:ascii="宋体" w:hAnsi="宋体"/>
                <w:bCs/>
                <w:color w:val="auto"/>
                <w:highlight w:val="none"/>
              </w:rPr>
            </w:pPr>
            <w:r>
              <w:rPr>
                <w:rFonts w:hint="eastAsia" w:ascii="宋体" w:hAnsi="宋体" w:cs="宋体"/>
                <w:color w:val="auto"/>
                <w:szCs w:val="21"/>
                <w:highlight w:val="none"/>
              </w:rPr>
              <w:t>开标信封</w:t>
            </w:r>
          </w:p>
        </w:tc>
        <w:tc>
          <w:tcPr>
            <w:tcW w:w="6729" w:type="dxa"/>
            <w:gridSpan w:val="2"/>
            <w:vAlign w:val="center"/>
          </w:tcPr>
          <w:p>
            <w:pPr>
              <w:rPr>
                <w:rFonts w:ascii="宋体" w:hAnsi="宋体"/>
                <w:bCs/>
                <w:color w:val="auto"/>
                <w:highlight w:val="none"/>
              </w:rPr>
            </w:pPr>
            <w:r>
              <w:rPr>
                <w:rFonts w:hint="eastAsia" w:ascii="宋体" w:hAnsi="宋体"/>
                <w:color w:val="auto"/>
                <w:szCs w:val="21"/>
                <w:highlight w:val="none"/>
              </w:rPr>
              <w:t>将</w:t>
            </w:r>
            <w:r>
              <w:rPr>
                <w:rFonts w:hint="eastAsia" w:ascii="宋体" w:hAnsi="宋体" w:cs="宋体"/>
                <w:b/>
                <w:color w:val="auto"/>
                <w:szCs w:val="21"/>
                <w:highlight w:val="none"/>
                <w:lang w:eastAsia="zh-TW"/>
              </w:rPr>
              <w:t>开标一览表(报价表)</w:t>
            </w:r>
            <w:r>
              <w:rPr>
                <w:rFonts w:hint="eastAsia" w:ascii="宋体" w:hAnsi="宋体" w:cs="宋体"/>
                <w:b/>
                <w:color w:val="auto"/>
                <w:szCs w:val="21"/>
                <w:highlight w:val="none"/>
              </w:rPr>
              <w:t>、</w:t>
            </w:r>
            <w:r>
              <w:rPr>
                <w:rFonts w:hint="eastAsia" w:ascii="宋体" w:hAnsi="宋体" w:cs="宋体"/>
                <w:b/>
                <w:color w:val="auto"/>
                <w:szCs w:val="21"/>
                <w:highlight w:val="none"/>
                <w:lang w:eastAsia="zh-TW"/>
              </w:rPr>
              <w:t>法定代表人证明书或法定代表人授权委托书</w:t>
            </w:r>
            <w:r>
              <w:rPr>
                <w:rFonts w:hint="eastAsia" w:ascii="宋体" w:hAnsi="宋体" w:cs="宋体"/>
                <w:b/>
                <w:color w:val="auto"/>
                <w:szCs w:val="21"/>
                <w:highlight w:val="none"/>
              </w:rPr>
              <w:t>、电子文件和开票资料（如适用）</w:t>
            </w:r>
            <w:r>
              <w:rPr>
                <w:rFonts w:hint="eastAsia" w:ascii="宋体" w:hAnsi="宋体"/>
                <w:color w:val="auto"/>
                <w:szCs w:val="21"/>
                <w:highlight w:val="none"/>
              </w:rPr>
              <w:t>一并单独密封提交，并在信封上标明“</w:t>
            </w:r>
            <w:r>
              <w:rPr>
                <w:rFonts w:hint="eastAsia" w:ascii="宋体" w:hAnsi="宋体"/>
                <w:b/>
                <w:color w:val="auto"/>
                <w:szCs w:val="21"/>
                <w:highlight w:val="none"/>
              </w:rPr>
              <w:t>开标信封</w:t>
            </w:r>
            <w:r>
              <w:rPr>
                <w:rFonts w:hint="eastAsia" w:ascii="宋体" w:hAnsi="宋体"/>
                <w:b/>
                <w:color w:val="auto"/>
                <w:szCs w:val="21"/>
                <w:highlight w:val="none"/>
                <w:lang w:val="en-US" w:eastAsia="zh-CN"/>
              </w:rPr>
              <w:t xml:space="preserve"> 项目名称</w:t>
            </w:r>
            <w:r>
              <w:rPr>
                <w:rFonts w:hint="eastAsia" w:ascii="宋体" w:hAnsi="宋体"/>
                <w:color w:val="auto"/>
                <w:szCs w:val="21"/>
                <w:highlight w:val="none"/>
              </w:rPr>
              <w:t>”</w:t>
            </w:r>
            <w:r>
              <w:rPr>
                <w:rFonts w:hint="eastAsia" w:ascii="宋体" w:hAnsi="宋体"/>
                <w:color w:val="auto"/>
                <w:szCs w:val="21"/>
                <w:highlight w:val="none"/>
                <w:lang w:val="en-US" w:eastAsia="zh-CN"/>
              </w:rPr>
              <w:t>的</w:t>
            </w:r>
            <w:r>
              <w:rPr>
                <w:rFonts w:hint="eastAsia" w:ascii="宋体" w:hAnsi="宋体"/>
                <w:color w:val="auto"/>
                <w:szCs w:val="21"/>
                <w:highlight w:val="none"/>
              </w:rPr>
              <w:t>字样。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4" w:type="dxa"/>
            <w:vAlign w:val="center"/>
          </w:tcPr>
          <w:p>
            <w:pPr>
              <w:adjustRightInd w:val="0"/>
              <w:snapToGrid w:val="0"/>
              <w:jc w:val="center"/>
              <w:rPr>
                <w:rFonts w:hint="eastAsia" w:ascii="宋体" w:hAnsi="宋体"/>
                <w:color w:val="auto"/>
                <w:szCs w:val="21"/>
                <w:highlight w:val="none"/>
              </w:rPr>
            </w:pPr>
          </w:p>
        </w:tc>
        <w:tc>
          <w:tcPr>
            <w:tcW w:w="1981" w:type="dxa"/>
            <w:gridSpan w:val="2"/>
            <w:vAlign w:val="center"/>
          </w:tcPr>
          <w:p>
            <w:pPr>
              <w:jc w:val="center"/>
              <w:rPr>
                <w:rFonts w:hint="eastAsia" w:ascii="宋体" w:hAnsi="宋体" w:cs="宋体"/>
                <w:color w:val="auto"/>
                <w:szCs w:val="21"/>
                <w:highlight w:val="none"/>
              </w:rPr>
            </w:pPr>
          </w:p>
        </w:tc>
        <w:tc>
          <w:tcPr>
            <w:tcW w:w="6729" w:type="dxa"/>
            <w:gridSpan w:val="2"/>
            <w:vAlign w:val="center"/>
          </w:tcPr>
          <w:p>
            <w:pPr>
              <w:rPr>
                <w:rFonts w:hint="eastAsia" w:ascii="宋体" w:hAnsi="宋体"/>
                <w:color w:val="auto"/>
                <w:szCs w:val="21"/>
                <w:highlight w:val="none"/>
              </w:rPr>
            </w:pPr>
            <w:r>
              <w:rPr>
                <w:rFonts w:hint="eastAsia" w:ascii="宋体" w:hAnsi="宋体"/>
                <w:color w:val="auto"/>
                <w:sz w:val="21"/>
                <w:szCs w:val="21"/>
                <w:highlight w:val="none"/>
                <w:lang w:val="en-US" w:eastAsia="zh-CN"/>
              </w:rPr>
              <w:t>本次招标不收取任何费用，投标费用由投标人自理。中标人未进场施工前，招标人有权取消投标人的中标资格并不作任何经济补偿。</w:t>
            </w:r>
          </w:p>
        </w:tc>
      </w:tr>
    </w:tbl>
    <w:p>
      <w:pPr>
        <w:adjustRightInd w:val="0"/>
        <w:snapToGrid w:val="0"/>
        <w:spacing w:line="360" w:lineRule="auto"/>
        <w:jc w:val="center"/>
        <w:outlineLvl w:val="0"/>
        <w:rPr>
          <w:b/>
          <w:bCs/>
          <w:color w:val="auto"/>
          <w:sz w:val="28"/>
          <w:szCs w:val="28"/>
          <w:highlight w:val="none"/>
        </w:rPr>
      </w:pPr>
      <w:r>
        <w:rPr>
          <w:color w:val="auto"/>
          <w:highlight w:val="none"/>
        </w:rPr>
        <w:br w:type="page"/>
      </w:r>
      <w:r>
        <w:rPr>
          <w:rFonts w:hint="eastAsia"/>
          <w:b/>
          <w:bCs/>
          <w:color w:val="auto"/>
          <w:sz w:val="28"/>
          <w:szCs w:val="28"/>
          <w:highlight w:val="none"/>
        </w:rPr>
        <w:t>第三章 开标、评标、定标</w:t>
      </w:r>
    </w:p>
    <w:p>
      <w:pPr>
        <w:pStyle w:val="31"/>
        <w:widowControl/>
        <w:numPr>
          <w:ilvl w:val="0"/>
          <w:numId w:val="6"/>
        </w:numPr>
        <w:spacing w:line="360" w:lineRule="auto"/>
        <w:ind w:firstLineChars="0"/>
        <w:jc w:val="left"/>
        <w:rPr>
          <w:rFonts w:hAnsi="宋体"/>
          <w:color w:val="auto"/>
          <w:highlight w:val="none"/>
        </w:rPr>
      </w:pPr>
      <w:r>
        <w:rPr>
          <w:rFonts w:hint="eastAsia" w:hAnsi="宋体"/>
          <w:color w:val="auto"/>
          <w:highlight w:val="none"/>
        </w:rPr>
        <w:t>开标</w:t>
      </w:r>
    </w:p>
    <w:p>
      <w:pPr>
        <w:pStyle w:val="31"/>
        <w:widowControl/>
        <w:numPr>
          <w:ilvl w:val="1"/>
          <w:numId w:val="6"/>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lang w:eastAsia="zh-TW"/>
        </w:rPr>
        <w:t>招标代理机构在</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lang w:eastAsia="zh-TW"/>
        </w:rPr>
        <w:t>中规定的日期、时</w:t>
      </w:r>
      <w:r>
        <w:rPr>
          <w:rFonts w:hint="eastAsia" w:ascii="宋体" w:hAnsi="宋体" w:cs="宋体"/>
          <w:color w:val="auto"/>
          <w:szCs w:val="21"/>
          <w:highlight w:val="none"/>
        </w:rPr>
        <w:t>间</w:t>
      </w:r>
      <w:r>
        <w:rPr>
          <w:rFonts w:hint="eastAsia" w:ascii="宋体" w:hAnsi="宋体" w:cs="宋体"/>
          <w:color w:val="auto"/>
          <w:szCs w:val="21"/>
          <w:highlight w:val="none"/>
          <w:lang w:eastAsia="zh-TW"/>
        </w:rPr>
        <w:t>和地点组织</w:t>
      </w:r>
      <w:r>
        <w:rPr>
          <w:rFonts w:hint="eastAsia" w:ascii="宋体" w:hAnsi="宋体" w:cs="宋体"/>
          <w:color w:val="auto"/>
          <w:szCs w:val="21"/>
          <w:highlight w:val="none"/>
        </w:rPr>
        <w:t>开标会议</w:t>
      </w:r>
      <w:r>
        <w:rPr>
          <w:rFonts w:hint="eastAsia" w:ascii="宋体" w:hAnsi="宋体" w:cs="宋体"/>
          <w:color w:val="auto"/>
          <w:szCs w:val="21"/>
          <w:highlight w:val="none"/>
          <w:lang w:eastAsia="zh-TW"/>
        </w:rPr>
        <w:t>。</w:t>
      </w:r>
      <w:r>
        <w:rPr>
          <w:rFonts w:hint="eastAsia" w:ascii="宋体" w:hAnsi="宋体" w:cs="宋体"/>
          <w:color w:val="auto"/>
          <w:szCs w:val="21"/>
          <w:highlight w:val="none"/>
        </w:rPr>
        <w:t>开标时邀请所有投标人代表参加。参加开标的代表应签名报到以证明其出席。</w:t>
      </w:r>
    </w:p>
    <w:p>
      <w:pPr>
        <w:pStyle w:val="31"/>
        <w:widowControl/>
        <w:numPr>
          <w:ilvl w:val="1"/>
          <w:numId w:val="6"/>
        </w:numPr>
        <w:spacing w:line="360" w:lineRule="auto"/>
        <w:ind w:left="567" w:leftChars="0" w:firstLineChars="0"/>
        <w:jc w:val="left"/>
        <w:rPr>
          <w:rFonts w:hint="eastAsia" w:ascii="宋体" w:hAnsi="宋体" w:cs="宋体"/>
          <w:color w:val="auto"/>
          <w:szCs w:val="21"/>
          <w:highlight w:val="none"/>
          <w:lang w:val="en-US" w:eastAsia="zh-TW"/>
        </w:rPr>
      </w:pPr>
      <w:r>
        <w:rPr>
          <w:rFonts w:hint="eastAsia" w:ascii="宋体" w:hAnsi="宋体" w:cs="宋体"/>
          <w:color w:val="auto"/>
          <w:szCs w:val="21"/>
          <w:highlight w:val="none"/>
          <w:lang w:val="en-US" w:eastAsia="zh-TW"/>
        </w:rPr>
        <w:t>开标时，由按签到顺序递交投标文件的前三名投标人代表作为全体投标人推选的代表就所有投标文件的密封情况进行检查，经确认无误后，由招标人或者招标代理机构工作人员当众拆封，宣布投标人名称、投标价格和招标文件规定的需要宣布的其他内容。</w:t>
      </w:r>
    </w:p>
    <w:p>
      <w:pPr>
        <w:pStyle w:val="31"/>
        <w:widowControl/>
        <w:numPr>
          <w:ilvl w:val="0"/>
          <w:numId w:val="0"/>
        </w:numPr>
        <w:spacing w:line="360" w:lineRule="auto"/>
        <w:jc w:val="left"/>
        <w:rPr>
          <w:rFonts w:hint="eastAsia" w:ascii="宋体" w:hAnsi="宋体" w:cs="宋体"/>
          <w:color w:val="auto"/>
          <w:szCs w:val="21"/>
          <w:highlight w:val="none"/>
          <w:lang w:val="zh-CN" w:eastAsia="zh-TW"/>
        </w:rPr>
      </w:pPr>
      <w:r>
        <w:rPr>
          <w:rFonts w:hint="eastAsia" w:ascii="宋体" w:hAnsi="宋体" w:cs="宋体"/>
          <w:color w:val="auto"/>
          <w:szCs w:val="21"/>
          <w:highlight w:val="none"/>
          <w:lang w:val="en-US" w:eastAsia="zh-CN"/>
        </w:rPr>
        <w:t>1.3.开标结束后</w:t>
      </w:r>
      <w:r>
        <w:rPr>
          <w:rFonts w:hint="eastAsia" w:ascii="宋体" w:hAnsi="宋体" w:cs="宋体"/>
          <w:color w:val="auto"/>
          <w:szCs w:val="21"/>
          <w:highlight w:val="none"/>
          <w:lang w:eastAsia="zh-TW"/>
        </w:rPr>
        <w:t>所</w:t>
      </w:r>
      <w:r>
        <w:rPr>
          <w:rFonts w:ascii="宋体" w:hAnsi="宋体" w:cs="宋体"/>
          <w:color w:val="auto"/>
          <w:szCs w:val="21"/>
          <w:highlight w:val="none"/>
          <w:lang w:eastAsia="zh-TW"/>
        </w:rPr>
        <w:t>有</w:t>
      </w:r>
      <w:r>
        <w:rPr>
          <w:rFonts w:hint="eastAsia" w:ascii="宋体" w:hAnsi="宋体" w:cs="宋体"/>
          <w:color w:val="auto"/>
          <w:szCs w:val="21"/>
          <w:highlight w:val="none"/>
          <w:lang w:val="en-US" w:eastAsia="zh-TW"/>
        </w:rPr>
        <w:t>评标委员会</w:t>
      </w:r>
      <w:r>
        <w:rPr>
          <w:rFonts w:ascii="宋体" w:hAnsi="宋体" w:cs="宋体"/>
          <w:color w:val="auto"/>
          <w:szCs w:val="21"/>
          <w:highlight w:val="none"/>
          <w:lang w:eastAsia="zh-TW"/>
        </w:rPr>
        <w:t>成员集中与单一</w:t>
      </w:r>
      <w:r>
        <w:rPr>
          <w:rFonts w:hint="eastAsia" w:ascii="宋体" w:hAnsi="宋体" w:cs="宋体"/>
          <w:color w:val="auto"/>
          <w:szCs w:val="21"/>
          <w:highlight w:val="none"/>
          <w:lang w:val="en-US" w:eastAsia="zh-TW"/>
        </w:rPr>
        <w:t>投标单位</w:t>
      </w:r>
      <w:r>
        <w:rPr>
          <w:rFonts w:ascii="宋体" w:hAnsi="宋体" w:cs="宋体"/>
          <w:color w:val="auto"/>
          <w:szCs w:val="21"/>
          <w:highlight w:val="none"/>
          <w:lang w:eastAsia="zh-TW"/>
        </w:rPr>
        <w:t>分别进行</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w:t>
      </w:r>
    </w:p>
    <w:p>
      <w:pPr>
        <w:pStyle w:val="31"/>
        <w:widowControl/>
        <w:numPr>
          <w:ilvl w:val="0"/>
          <w:numId w:val="0"/>
        </w:numPr>
        <w:spacing w:line="360" w:lineRule="auto"/>
        <w:jc w:val="left"/>
        <w:rPr>
          <w:rFonts w:hint="eastAsia" w:ascii="宋体" w:hAnsi="宋体" w:cs="宋体"/>
          <w:color w:val="auto"/>
          <w:szCs w:val="21"/>
          <w:highlight w:val="none"/>
          <w:lang w:val="zh-CN" w:eastAsia="zh-TW"/>
        </w:rPr>
      </w:pPr>
      <w:r>
        <w:rPr>
          <w:rFonts w:hint="eastAsia" w:ascii="宋体" w:hAnsi="宋体" w:cs="宋体"/>
          <w:color w:val="auto"/>
          <w:szCs w:val="21"/>
          <w:highlight w:val="none"/>
          <w:lang w:val="en-US" w:eastAsia="zh-CN"/>
        </w:rPr>
        <w:t>1.3.1</w:t>
      </w:r>
      <w:r>
        <w:rPr>
          <w:rFonts w:hint="eastAsia" w:ascii="宋体" w:hAnsi="宋体" w:cs="宋体"/>
          <w:color w:val="auto"/>
          <w:szCs w:val="21"/>
          <w:highlight w:val="none"/>
          <w:lang w:val="zh-CN" w:eastAsia="zh-TW"/>
        </w:rPr>
        <w:t>在</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过程中，</w:t>
      </w:r>
      <w:r>
        <w:rPr>
          <w:rFonts w:hint="eastAsia" w:ascii="宋体" w:hAnsi="宋体" w:cs="宋体"/>
          <w:color w:val="auto"/>
          <w:szCs w:val="21"/>
          <w:highlight w:val="none"/>
          <w:lang w:val="en-US" w:eastAsia="zh-TW"/>
        </w:rPr>
        <w:t>评标委员会</w:t>
      </w:r>
      <w:r>
        <w:rPr>
          <w:rFonts w:hint="eastAsia" w:ascii="宋体" w:hAnsi="宋体" w:cs="宋体"/>
          <w:color w:val="auto"/>
          <w:szCs w:val="21"/>
          <w:highlight w:val="none"/>
          <w:lang w:val="zh-CN" w:eastAsia="zh-TW"/>
        </w:rPr>
        <w:t>可以根据招标文件和</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val="zh-CN" w:eastAsia="zh-TW"/>
        </w:rPr>
        <w:t>情况实质性变动技术、服务要求，但不得变动招标文件中的其他内容。实质性变动的内容，须经</w:t>
      </w:r>
      <w:r>
        <w:rPr>
          <w:rFonts w:hint="eastAsia" w:ascii="宋体" w:hAnsi="宋体" w:cs="宋体"/>
          <w:color w:val="auto"/>
          <w:szCs w:val="21"/>
          <w:highlight w:val="none"/>
          <w:lang w:val="en-US" w:eastAsia="zh-TW"/>
        </w:rPr>
        <w:t>招标</w:t>
      </w:r>
      <w:r>
        <w:rPr>
          <w:rFonts w:hint="eastAsia" w:ascii="宋体" w:hAnsi="宋体" w:cs="宋体"/>
          <w:color w:val="auto"/>
          <w:szCs w:val="21"/>
          <w:highlight w:val="none"/>
          <w:lang w:val="zh-CN" w:eastAsia="zh-TW"/>
        </w:rPr>
        <w:t>人代表确认。</w:t>
      </w:r>
    </w:p>
    <w:p>
      <w:pPr>
        <w:pStyle w:val="31"/>
        <w:widowControl/>
        <w:numPr>
          <w:ilvl w:val="0"/>
          <w:numId w:val="0"/>
        </w:numPr>
        <w:spacing w:line="360" w:lineRule="auto"/>
        <w:jc w:val="left"/>
        <w:rPr>
          <w:rFonts w:hint="eastAsia" w:ascii="宋体" w:hAnsi="宋体" w:cs="宋体"/>
          <w:b/>
          <w:bCs/>
          <w:color w:val="auto"/>
          <w:szCs w:val="21"/>
          <w:highlight w:val="none"/>
          <w:lang w:eastAsia="zh-TW"/>
        </w:rPr>
      </w:pPr>
      <w:r>
        <w:rPr>
          <w:rFonts w:hint="eastAsia" w:ascii="宋体" w:hAnsi="宋体" w:cs="宋体"/>
          <w:color w:val="auto"/>
          <w:szCs w:val="21"/>
          <w:highlight w:val="none"/>
          <w:lang w:val="en-US" w:eastAsia="zh-CN"/>
        </w:rPr>
        <w:t>1.4.</w:t>
      </w:r>
      <w:r>
        <w:rPr>
          <w:rFonts w:ascii="宋体" w:hAnsi="宋体" w:cs="宋体"/>
          <w:color w:val="auto"/>
          <w:szCs w:val="21"/>
          <w:highlight w:val="none"/>
          <w:lang w:eastAsia="zh-TW"/>
        </w:rPr>
        <w:t>最</w:t>
      </w:r>
      <w:r>
        <w:rPr>
          <w:rFonts w:hint="eastAsia" w:ascii="宋体" w:hAnsi="宋体" w:cs="宋体"/>
          <w:color w:val="auto"/>
          <w:szCs w:val="21"/>
          <w:highlight w:val="none"/>
          <w:lang w:val="en-US" w:eastAsia="zh-CN"/>
        </w:rPr>
        <w:t>终</w:t>
      </w:r>
      <w:r>
        <w:rPr>
          <w:rFonts w:ascii="宋体" w:hAnsi="宋体" w:cs="宋体"/>
          <w:color w:val="auto"/>
          <w:szCs w:val="21"/>
          <w:highlight w:val="none"/>
          <w:lang w:eastAsia="zh-TW"/>
        </w:rPr>
        <w:t>报价</w:t>
      </w:r>
      <w:r>
        <w:rPr>
          <w:rFonts w:hint="eastAsia" w:ascii="宋体" w:hAnsi="宋体" w:cs="宋体"/>
          <w:color w:val="auto"/>
          <w:szCs w:val="21"/>
          <w:highlight w:val="none"/>
          <w:lang w:eastAsia="zh-TW"/>
        </w:rPr>
        <w:t>：</w:t>
      </w:r>
      <w:r>
        <w:rPr>
          <w:rFonts w:hint="eastAsia" w:ascii="宋体" w:hAnsi="宋体" w:cs="宋体"/>
          <w:color w:val="auto"/>
          <w:szCs w:val="21"/>
          <w:highlight w:val="none"/>
          <w:lang w:val="en-US" w:eastAsia="zh-TW"/>
        </w:rPr>
        <w:t>议价</w:t>
      </w:r>
      <w:r>
        <w:rPr>
          <w:rFonts w:hint="eastAsia" w:ascii="宋体" w:hAnsi="宋体" w:cs="宋体"/>
          <w:color w:val="auto"/>
          <w:szCs w:val="21"/>
          <w:highlight w:val="none"/>
          <w:lang w:eastAsia="zh-TW"/>
        </w:rPr>
        <w:t>结束后，</w:t>
      </w:r>
      <w:r>
        <w:rPr>
          <w:rFonts w:hint="eastAsia" w:ascii="宋体" w:hAnsi="宋体" w:cs="宋体"/>
          <w:color w:val="auto"/>
          <w:szCs w:val="21"/>
          <w:highlight w:val="none"/>
          <w:lang w:val="en-US" w:eastAsia="zh-TW"/>
        </w:rPr>
        <w:t>评标委员会</w:t>
      </w:r>
      <w:r>
        <w:rPr>
          <w:rFonts w:hint="eastAsia" w:ascii="宋体" w:hAnsi="宋体" w:cs="宋体"/>
          <w:color w:val="auto"/>
          <w:szCs w:val="21"/>
          <w:highlight w:val="none"/>
          <w:lang w:eastAsia="zh-TW"/>
        </w:rPr>
        <w:t>应当要求所有实质性响应的</w:t>
      </w:r>
      <w:r>
        <w:rPr>
          <w:rFonts w:hint="eastAsia" w:ascii="宋体" w:hAnsi="宋体" w:cs="宋体"/>
          <w:color w:val="auto"/>
          <w:szCs w:val="21"/>
          <w:highlight w:val="none"/>
          <w:lang w:val="en-US" w:eastAsia="zh-TW"/>
        </w:rPr>
        <w:t>投标单位</w:t>
      </w:r>
      <w:r>
        <w:rPr>
          <w:rFonts w:hint="eastAsia" w:ascii="宋体" w:hAnsi="宋体" w:cs="宋体"/>
          <w:color w:val="auto"/>
          <w:szCs w:val="21"/>
          <w:highlight w:val="none"/>
          <w:lang w:eastAsia="zh-TW"/>
        </w:rPr>
        <w:t>在规定时间内提交最</w:t>
      </w:r>
      <w:r>
        <w:rPr>
          <w:rFonts w:hint="eastAsia" w:ascii="宋体" w:hAnsi="宋体" w:cs="宋体"/>
          <w:color w:val="auto"/>
          <w:szCs w:val="21"/>
          <w:highlight w:val="none"/>
          <w:lang w:val="en-US" w:eastAsia="zh-CN"/>
        </w:rPr>
        <w:t>终</w:t>
      </w:r>
      <w:r>
        <w:rPr>
          <w:rFonts w:hint="eastAsia" w:ascii="宋体" w:hAnsi="宋体" w:cs="宋体"/>
          <w:color w:val="auto"/>
          <w:szCs w:val="21"/>
          <w:highlight w:val="none"/>
          <w:lang w:eastAsia="zh-TW"/>
        </w:rPr>
        <w:t>报价。</w:t>
      </w:r>
      <w:r>
        <w:rPr>
          <w:rFonts w:hint="eastAsia" w:ascii="宋体" w:hAnsi="宋体" w:cs="宋体"/>
          <w:b/>
          <w:bCs/>
          <w:color w:val="auto"/>
          <w:szCs w:val="21"/>
          <w:highlight w:val="none"/>
          <w:lang w:eastAsia="zh-TW"/>
        </w:rPr>
        <w:t>最</w:t>
      </w:r>
      <w:r>
        <w:rPr>
          <w:rFonts w:hint="eastAsia" w:ascii="宋体" w:hAnsi="宋体" w:cs="宋体"/>
          <w:b/>
          <w:bCs/>
          <w:color w:val="auto"/>
          <w:szCs w:val="21"/>
          <w:highlight w:val="none"/>
          <w:lang w:val="en-US" w:eastAsia="zh-CN"/>
        </w:rPr>
        <w:t>终</w:t>
      </w:r>
      <w:r>
        <w:rPr>
          <w:rFonts w:hint="eastAsia" w:ascii="宋体" w:hAnsi="宋体" w:cs="宋体"/>
          <w:b/>
          <w:bCs/>
          <w:color w:val="auto"/>
          <w:szCs w:val="21"/>
          <w:highlight w:val="none"/>
          <w:lang w:eastAsia="zh-TW"/>
        </w:rPr>
        <w:t>报价是</w:t>
      </w:r>
      <w:r>
        <w:rPr>
          <w:rFonts w:hint="eastAsia" w:ascii="宋体" w:hAnsi="宋体" w:cs="宋体"/>
          <w:b/>
          <w:bCs/>
          <w:color w:val="auto"/>
          <w:szCs w:val="21"/>
          <w:highlight w:val="none"/>
          <w:lang w:val="en-US" w:eastAsia="zh-TW"/>
        </w:rPr>
        <w:t>投标</w:t>
      </w:r>
      <w:r>
        <w:rPr>
          <w:rFonts w:hint="eastAsia" w:ascii="宋体" w:hAnsi="宋体" w:cs="宋体"/>
          <w:b/>
          <w:bCs/>
          <w:color w:val="auto"/>
          <w:szCs w:val="21"/>
          <w:highlight w:val="none"/>
          <w:lang w:eastAsia="zh-TW"/>
        </w:rPr>
        <w:t>文件的有效组成部分</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各投标人的最终报价作为价格分的评审依据</w:t>
      </w:r>
      <w:r>
        <w:rPr>
          <w:rFonts w:hint="eastAsia" w:ascii="宋体" w:hAnsi="宋体" w:cs="宋体"/>
          <w:b/>
          <w:bCs/>
          <w:color w:val="auto"/>
          <w:szCs w:val="21"/>
          <w:highlight w:val="none"/>
          <w:lang w:eastAsia="zh-TW"/>
        </w:rPr>
        <w:t>。</w:t>
      </w:r>
    </w:p>
    <w:p>
      <w:pPr>
        <w:pStyle w:val="31"/>
        <w:widowControl/>
        <w:numPr>
          <w:ilvl w:val="0"/>
          <w:numId w:val="0"/>
        </w:numPr>
        <w:spacing w:line="360" w:lineRule="auto"/>
        <w:jc w:val="left"/>
        <w:rPr>
          <w:rFonts w:hint="eastAsia" w:ascii="宋体" w:hAnsi="宋体" w:cs="宋体"/>
          <w:b w:val="0"/>
          <w:bCs w:val="0"/>
          <w:color w:val="auto"/>
          <w:szCs w:val="21"/>
          <w:highlight w:val="none"/>
          <w:lang w:val="en-US" w:eastAsia="zh-CN"/>
        </w:rPr>
      </w:pPr>
      <w:r>
        <w:rPr>
          <w:rFonts w:hint="eastAsia" w:ascii="宋体" w:hAnsi="宋体" w:cs="宋体"/>
          <w:b/>
          <w:bCs/>
          <w:color w:val="auto"/>
          <w:szCs w:val="21"/>
          <w:highlight w:val="none"/>
          <w:lang w:val="en-US" w:eastAsia="zh-CN"/>
        </w:rPr>
        <w:t>1.5.</w:t>
      </w:r>
      <w:r>
        <w:rPr>
          <w:rFonts w:hint="eastAsia" w:ascii="宋体" w:hAnsi="宋体" w:cs="宋体"/>
          <w:b w:val="0"/>
          <w:bCs w:val="0"/>
          <w:color w:val="auto"/>
          <w:szCs w:val="21"/>
          <w:highlight w:val="none"/>
          <w:lang w:val="en-US" w:eastAsia="zh-CN"/>
        </w:rPr>
        <w:t>开标过程应当由招标人或者招标代理机构负责记录，由参加开标的各投标人代表和相关工作人员签字确认。</w:t>
      </w:r>
    </w:p>
    <w:p>
      <w:pPr>
        <w:pStyle w:val="31"/>
        <w:widowControl/>
        <w:numPr>
          <w:ilvl w:val="0"/>
          <w:numId w:val="0"/>
        </w:numPr>
        <w:spacing w:line="360" w:lineRule="auto"/>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1.6.</w:t>
      </w:r>
      <w:r>
        <w:rPr>
          <w:rFonts w:hint="default" w:ascii="宋体" w:hAnsi="宋体" w:cs="宋体"/>
          <w:b w:val="0"/>
          <w:bCs w:val="0"/>
          <w:color w:val="auto"/>
          <w:szCs w:val="21"/>
          <w:highlight w:val="none"/>
          <w:lang w:val="en-US" w:eastAsia="zh-CN"/>
        </w:rPr>
        <w:t>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1.7.</w:t>
      </w:r>
      <w:r>
        <w:rPr>
          <w:rFonts w:hint="default" w:ascii="宋体" w:hAnsi="宋体" w:cs="宋体"/>
          <w:b w:val="0"/>
          <w:bCs w:val="0"/>
          <w:color w:val="auto"/>
          <w:szCs w:val="21"/>
          <w:highlight w:val="none"/>
          <w:lang w:val="en-US" w:eastAsia="zh-CN"/>
        </w:rPr>
        <w:t>投标人未参加开标的，视同认可开标结果。</w:t>
      </w:r>
    </w:p>
    <w:p>
      <w:pPr>
        <w:pStyle w:val="31"/>
        <w:widowControl/>
        <w:numPr>
          <w:ilvl w:val="0"/>
          <w:numId w:val="0"/>
        </w:numPr>
        <w:spacing w:line="360" w:lineRule="auto"/>
        <w:ind w:left="210" w:leftChars="0"/>
        <w:jc w:val="left"/>
        <w:rPr>
          <w:rFonts w:hint="default" w:ascii="宋体" w:hAnsi="宋体" w:cs="宋体"/>
          <w:b w:val="0"/>
          <w:bCs w:val="0"/>
          <w:color w:val="auto"/>
          <w:szCs w:val="21"/>
          <w:highlight w:val="none"/>
          <w:lang w:val="en-US" w:eastAsia="zh-CN"/>
        </w:rPr>
      </w:pPr>
    </w:p>
    <w:p>
      <w:pPr>
        <w:pStyle w:val="31"/>
        <w:widowControl/>
        <w:numPr>
          <w:ilvl w:val="0"/>
          <w:numId w:val="6"/>
        </w:numPr>
        <w:spacing w:line="360" w:lineRule="auto"/>
        <w:ind w:firstLineChars="0"/>
        <w:jc w:val="left"/>
        <w:rPr>
          <w:rFonts w:hAnsi="宋体"/>
          <w:color w:val="auto"/>
          <w:highlight w:val="none"/>
        </w:rPr>
      </w:pPr>
      <w:r>
        <w:rPr>
          <w:rFonts w:hint="eastAsia" w:hAnsi="宋体"/>
          <w:color w:val="auto"/>
          <w:highlight w:val="none"/>
        </w:rPr>
        <w:t>评标委员会的组成</w:t>
      </w:r>
    </w:p>
    <w:p>
      <w:pPr>
        <w:pStyle w:val="31"/>
        <w:widowControl/>
        <w:numPr>
          <w:ilvl w:val="1"/>
          <w:numId w:val="6"/>
        </w:numPr>
        <w:spacing w:line="360" w:lineRule="auto"/>
        <w:ind w:left="567" w:leftChars="0" w:firstLineChars="0"/>
        <w:jc w:val="left"/>
        <w:rPr>
          <w:rFonts w:hAnsi="宋体"/>
          <w:color w:val="auto"/>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lang w:eastAsia="zh-TW"/>
        </w:rPr>
        <w:t>依法组建评标委员会。</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评标委员会成员名单在评标结果公告前应当保密。评审专家有下列情形之一的，受到邀请应主动提出回避，</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采购当事人也可以要求该评审专家回避：</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采购活动前3年内与</w:t>
      </w:r>
      <w:r>
        <w:rPr>
          <w:rFonts w:hint="eastAsia" w:ascii="宋体" w:hAnsi="宋体"/>
          <w:color w:val="auto"/>
          <w:highlight w:val="none"/>
        </w:rPr>
        <w:t>投标人</w:t>
      </w:r>
      <w:r>
        <w:rPr>
          <w:rFonts w:hint="eastAsia" w:ascii="宋体" w:hAnsi="宋体" w:cs="宋体"/>
          <w:color w:val="auto"/>
          <w:szCs w:val="21"/>
          <w:highlight w:val="none"/>
          <w:lang w:eastAsia="zh-TW"/>
        </w:rPr>
        <w:t>存在劳动关系；</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采购活动前3年内担任</w:t>
      </w:r>
      <w:r>
        <w:rPr>
          <w:rFonts w:hint="eastAsia" w:ascii="宋体" w:hAnsi="宋体"/>
          <w:color w:val="auto"/>
          <w:highlight w:val="none"/>
        </w:rPr>
        <w:t>投标人</w:t>
      </w:r>
      <w:r>
        <w:rPr>
          <w:rFonts w:hint="eastAsia" w:ascii="宋体" w:hAnsi="宋体" w:cs="宋体"/>
          <w:color w:val="auto"/>
          <w:szCs w:val="21"/>
          <w:highlight w:val="none"/>
          <w:lang w:eastAsia="zh-TW"/>
        </w:rPr>
        <w:t>的董事</w:t>
      </w:r>
      <w:r>
        <w:rPr>
          <w:rFonts w:hint="eastAsia" w:ascii="宋体" w:hAnsi="宋体" w:cs="宋体"/>
          <w:color w:val="auto"/>
          <w:szCs w:val="21"/>
          <w:highlight w:val="none"/>
        </w:rPr>
        <w:t>或</w:t>
      </w:r>
      <w:r>
        <w:rPr>
          <w:rFonts w:hint="eastAsia" w:ascii="宋体" w:hAnsi="宋体" w:cs="宋体"/>
          <w:color w:val="auto"/>
          <w:szCs w:val="21"/>
          <w:highlight w:val="none"/>
          <w:lang w:eastAsia="zh-TW"/>
        </w:rPr>
        <w:t>监事；</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参加</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采购活动前3年内是</w:t>
      </w:r>
      <w:r>
        <w:rPr>
          <w:rFonts w:hint="eastAsia" w:ascii="宋体" w:hAnsi="宋体"/>
          <w:color w:val="auto"/>
          <w:highlight w:val="none"/>
        </w:rPr>
        <w:t>投标人</w:t>
      </w:r>
      <w:r>
        <w:rPr>
          <w:rFonts w:hint="eastAsia" w:ascii="宋体" w:hAnsi="宋体" w:cs="宋体"/>
          <w:color w:val="auto"/>
          <w:szCs w:val="21"/>
          <w:highlight w:val="none"/>
          <w:lang w:eastAsia="zh-TW"/>
        </w:rPr>
        <w:t>的控股股东或者实际控制人；</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的法定代表人或者负责人有夫妻、直系血亲、三代以内旁系血亲或者近姻亲关系；</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有其他可能影响</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采购活动公平、公正进行的关系。</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评标委员会成员和参与评标的有关工作人员不得透露对投标文件的评审和比较、中标候选人的推荐情况以及与评标有关的其他情况。</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评标委员会负责具体评标事务，并独立履行下列职责：</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审查、评价投标文件是否符合招标文件的</w:t>
      </w:r>
      <w:r>
        <w:rPr>
          <w:rFonts w:hint="eastAsia" w:ascii="宋体" w:hAnsi="宋体" w:cs="宋体"/>
          <w:strike/>
          <w:dstrike w:val="0"/>
          <w:color w:val="auto"/>
          <w:szCs w:val="21"/>
          <w:highlight w:val="none"/>
          <w:lang w:eastAsia="zh-TW"/>
        </w:rPr>
        <w:t>商务、技术等</w:t>
      </w:r>
      <w:r>
        <w:rPr>
          <w:rFonts w:hint="eastAsia" w:ascii="宋体" w:hAnsi="宋体" w:cs="宋体"/>
          <w:color w:val="auto"/>
          <w:szCs w:val="21"/>
          <w:highlight w:val="none"/>
          <w:lang w:eastAsia="zh-TW"/>
        </w:rPr>
        <w:t>实质性要求；</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要求投标人对投标文件有关事项作出澄清或者说明；</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对投标文件进行比较和评价；</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确定中标候选人名单，以及根据招标人委托直接确定中标人</w:t>
      </w:r>
      <w:r>
        <w:rPr>
          <w:rFonts w:hint="eastAsia" w:ascii="宋体" w:hAnsi="宋体" w:cs="宋体"/>
          <w:color w:val="auto"/>
          <w:szCs w:val="21"/>
          <w:highlight w:val="none"/>
          <w:lang w:eastAsia="zh-CN"/>
        </w:rPr>
        <w:t>。</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向招标人、招标代理机构或者有关部门报告评标中发现的违法行为。</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对于投标文件中含义不明确、同类问题表述不一致或者有明显文字和计算错误的内容，评标委员会应当以书面形式要求投标人作出必要的澄清、说明或者补正。</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投标文件报价出现前后不一致的，按照下列规定修正：</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投标文件中开标一览表（报价表）内容与投标文件中相应内容不一致的，以开标一览表（报价表）为准；</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大写金额和小写金额不一致的，以大写金额为准；</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单价金额小数点或者百分比有明显错位的，以开标一览表的总价为准，并修改单价；</w:t>
      </w:r>
    </w:p>
    <w:p>
      <w:pPr>
        <w:pStyle w:val="31"/>
        <w:widowControl/>
        <w:numPr>
          <w:ilvl w:val="2"/>
          <w:numId w:val="6"/>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总价金额与按单价汇总金额不一致的，以单价金额计算结果为准。</w:t>
      </w:r>
    </w:p>
    <w:p>
      <w:pPr>
        <w:widowControl/>
        <w:spacing w:line="360" w:lineRule="auto"/>
        <w:ind w:firstLine="422" w:firstLineChars="200"/>
        <w:jc w:val="left"/>
        <w:rPr>
          <w:rFonts w:ascii="宋体" w:hAnsi="宋体" w:cs="宋体"/>
          <w:b/>
          <w:color w:val="auto"/>
          <w:szCs w:val="21"/>
          <w:highlight w:val="none"/>
          <w:lang w:eastAsia="zh-TW"/>
        </w:rPr>
      </w:pPr>
      <w:r>
        <w:rPr>
          <w:rFonts w:hint="eastAsia" w:ascii="宋体" w:hAnsi="宋体" w:cs="宋体"/>
          <w:b/>
          <w:color w:val="auto"/>
          <w:szCs w:val="21"/>
          <w:highlight w:val="none"/>
          <w:lang w:eastAsia="zh-TW"/>
        </w:rPr>
        <w:t>同时出现两种以上不一致的，按照前款规定的顺序修正。修正后的报价按照</w:t>
      </w:r>
      <w:r>
        <w:rPr>
          <w:rFonts w:hint="eastAsia" w:ascii="宋体" w:hAnsi="宋体" w:cs="宋体"/>
          <w:b/>
          <w:color w:val="auto"/>
          <w:szCs w:val="21"/>
          <w:highlight w:val="none"/>
        </w:rPr>
        <w:t>本章第2.6</w:t>
      </w:r>
      <w:r>
        <w:rPr>
          <w:rFonts w:hint="eastAsia" w:ascii="宋体" w:hAnsi="宋体" w:cs="宋体"/>
          <w:b/>
          <w:color w:val="auto"/>
          <w:szCs w:val="21"/>
          <w:highlight w:val="none"/>
          <w:lang w:eastAsia="zh-TW"/>
        </w:rPr>
        <w:t>规定经投标人确认后产生约束力，投标人不确认的，其投标无效。</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评标委员会决定投标的响应性只根据投标文件本身的真实无误的内容，而不依据外部的证据，但投标有不真实不正确的内容时除外。</w:t>
      </w:r>
    </w:p>
    <w:p>
      <w:pPr>
        <w:pStyle w:val="31"/>
        <w:widowControl/>
        <w:numPr>
          <w:ilvl w:val="1"/>
          <w:numId w:val="6"/>
        </w:numPr>
        <w:spacing w:line="360" w:lineRule="auto"/>
        <w:ind w:left="567" w:leftChars="0"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31"/>
        <w:widowControl/>
        <w:numPr>
          <w:ilvl w:val="0"/>
          <w:numId w:val="6"/>
        </w:numPr>
        <w:spacing w:line="360" w:lineRule="auto"/>
        <w:ind w:firstLineChars="0"/>
        <w:jc w:val="left"/>
        <w:rPr>
          <w:rFonts w:hAnsi="宋体"/>
          <w:b/>
          <w:color w:val="auto"/>
          <w:highlight w:val="none"/>
        </w:rPr>
      </w:pPr>
      <w:r>
        <w:rPr>
          <w:rFonts w:hint="eastAsia" w:hAnsi="宋体"/>
          <w:b/>
          <w:color w:val="auto"/>
          <w:highlight w:val="none"/>
        </w:rPr>
        <w:t>评标</w:t>
      </w:r>
    </w:p>
    <w:p>
      <w:pPr>
        <w:pStyle w:val="31"/>
        <w:widowControl/>
        <w:numPr>
          <w:ilvl w:val="1"/>
          <w:numId w:val="6"/>
        </w:numPr>
        <w:spacing w:line="360" w:lineRule="auto"/>
        <w:ind w:left="567" w:leftChars="0" w:firstLineChars="0"/>
        <w:jc w:val="left"/>
        <w:rPr>
          <w:rFonts w:ascii="宋体" w:hAnsi="宋体"/>
          <w:b/>
          <w:bCs w:val="0"/>
          <w:color w:val="auto"/>
          <w:szCs w:val="21"/>
          <w:highlight w:val="none"/>
          <w:u w:val="single"/>
        </w:rPr>
      </w:pPr>
      <w:r>
        <w:rPr>
          <w:rFonts w:hint="eastAsia" w:ascii="宋体" w:hAnsi="宋体"/>
          <w:bCs/>
          <w:color w:val="auto"/>
          <w:szCs w:val="21"/>
          <w:highlight w:val="none"/>
        </w:rPr>
        <w:t>评标方法：本项目采用</w:t>
      </w:r>
      <w:r>
        <w:rPr>
          <w:rFonts w:hint="eastAsia" w:ascii="宋体" w:hAnsi="宋体"/>
          <w:b/>
          <w:bCs w:val="0"/>
          <w:color w:val="auto"/>
          <w:szCs w:val="21"/>
          <w:highlight w:val="none"/>
          <w:u w:val="single"/>
          <w:lang w:val="en-US" w:eastAsia="zh-CN"/>
        </w:rPr>
        <w:t>最低评标价法</w:t>
      </w:r>
      <w:r>
        <w:rPr>
          <w:rFonts w:hint="eastAsia" w:ascii="宋体" w:hAnsi="宋体"/>
          <w:bCs/>
          <w:color w:val="auto"/>
          <w:szCs w:val="21"/>
          <w:highlight w:val="none"/>
        </w:rPr>
        <w:t>。</w:t>
      </w:r>
      <w:r>
        <w:rPr>
          <w:rFonts w:hint="eastAsia" w:ascii="宋体" w:hAnsi="宋体"/>
          <w:bCs/>
          <w:color w:val="auto"/>
          <w:szCs w:val="21"/>
          <w:highlight w:val="none"/>
          <w:u w:val="single"/>
          <w:lang w:val="en-US" w:eastAsia="zh-CN"/>
        </w:rPr>
        <w:t>最低评标价法</w:t>
      </w:r>
      <w:r>
        <w:rPr>
          <w:rFonts w:hint="eastAsia" w:ascii="宋体" w:hAnsi="宋体"/>
          <w:bCs/>
          <w:color w:val="auto"/>
          <w:szCs w:val="21"/>
          <w:highlight w:val="none"/>
          <w:u w:val="single"/>
        </w:rPr>
        <w:t>，是指投标文件满足招标文件全部实质性要求， 且按照</w:t>
      </w:r>
      <w:r>
        <w:rPr>
          <w:rFonts w:hint="eastAsia" w:ascii="宋体" w:hAnsi="宋体"/>
          <w:bCs/>
          <w:color w:val="auto"/>
          <w:szCs w:val="21"/>
          <w:highlight w:val="none"/>
          <w:u w:val="single"/>
          <w:lang w:val="en-US" w:eastAsia="zh-CN"/>
        </w:rPr>
        <w:t>价格</w:t>
      </w:r>
      <w:r>
        <w:rPr>
          <w:rFonts w:hint="eastAsia" w:ascii="宋体" w:hAnsi="宋体"/>
          <w:bCs/>
          <w:color w:val="auto"/>
          <w:szCs w:val="21"/>
          <w:highlight w:val="none"/>
          <w:u w:val="single"/>
        </w:rPr>
        <w:t>最</w:t>
      </w:r>
      <w:r>
        <w:rPr>
          <w:rFonts w:hint="eastAsia" w:ascii="宋体" w:hAnsi="宋体"/>
          <w:bCs/>
          <w:color w:val="auto"/>
          <w:szCs w:val="21"/>
          <w:highlight w:val="none"/>
          <w:u w:val="single"/>
          <w:lang w:val="en-US" w:eastAsia="zh-CN"/>
        </w:rPr>
        <w:t>低</w:t>
      </w:r>
      <w:r>
        <w:rPr>
          <w:rFonts w:hint="eastAsia" w:ascii="宋体" w:hAnsi="宋体"/>
          <w:bCs/>
          <w:color w:val="auto"/>
          <w:szCs w:val="21"/>
          <w:highlight w:val="none"/>
          <w:u w:val="single"/>
        </w:rPr>
        <w:t>的投标人为中标候选人的评标方法。</w:t>
      </w:r>
    </w:p>
    <w:p>
      <w:pPr>
        <w:pStyle w:val="31"/>
        <w:widowControl/>
        <w:numPr>
          <w:ilvl w:val="1"/>
          <w:numId w:val="6"/>
        </w:numPr>
        <w:spacing w:line="360" w:lineRule="auto"/>
        <w:ind w:left="567" w:leftChars="0" w:firstLineChars="0"/>
        <w:jc w:val="left"/>
        <w:rPr>
          <w:rFonts w:ascii="宋体" w:hAnsi="宋体"/>
          <w:b/>
          <w:bCs w:val="0"/>
          <w:color w:val="auto"/>
          <w:szCs w:val="21"/>
          <w:highlight w:val="none"/>
        </w:rPr>
      </w:pPr>
      <w:r>
        <w:rPr>
          <w:rFonts w:hint="eastAsia" w:ascii="宋体" w:hAnsi="宋体"/>
          <w:b/>
          <w:bCs w:val="0"/>
          <w:color w:val="auto"/>
          <w:szCs w:val="21"/>
          <w:highlight w:val="none"/>
        </w:rPr>
        <w:t>评标</w:t>
      </w:r>
      <w:r>
        <w:rPr>
          <w:rFonts w:hint="eastAsia" w:ascii="宋体" w:hAnsi="宋体"/>
          <w:b/>
          <w:bCs w:val="0"/>
          <w:color w:val="auto"/>
          <w:szCs w:val="21"/>
          <w:highlight w:val="none"/>
          <w:lang w:val="en-US" w:eastAsia="zh-CN"/>
        </w:rPr>
        <w:t>流程</w:t>
      </w:r>
      <w:r>
        <w:rPr>
          <w:rFonts w:hint="eastAsia" w:ascii="宋体" w:hAnsi="宋体"/>
          <w:b/>
          <w:bCs w:val="0"/>
          <w:color w:val="auto"/>
          <w:szCs w:val="21"/>
          <w:highlight w:val="none"/>
        </w:rPr>
        <w:t>：</w:t>
      </w:r>
    </w:p>
    <w:p>
      <w:pPr>
        <w:pStyle w:val="31"/>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资格、符合性审查：评标委员会应当对投标人的投标文件进行资格、符合性审查，详见《资格、符合性审查表》，以确定其是否满足招标文件的实质性要求。</w:t>
      </w:r>
      <w:r>
        <w:rPr>
          <w:rFonts w:hint="eastAsia" w:ascii="宋体" w:hAnsi="宋体" w:cs="宋体"/>
          <w:color w:val="auto"/>
          <w:szCs w:val="21"/>
          <w:highlight w:val="none"/>
          <w:lang w:eastAsia="zh-TW"/>
        </w:rPr>
        <w:t>评标委员会对初步被认定为</w:t>
      </w:r>
      <w:r>
        <w:rPr>
          <w:rFonts w:hint="eastAsia" w:ascii="宋体" w:hAnsi="宋体" w:cs="宋体"/>
          <w:color w:val="auto"/>
          <w:szCs w:val="21"/>
          <w:highlight w:val="none"/>
        </w:rPr>
        <w:t>资格</w:t>
      </w:r>
      <w:r>
        <w:rPr>
          <w:rFonts w:hint="eastAsia" w:ascii="宋体" w:hAnsi="宋体" w:cs="宋体"/>
          <w:color w:val="auto"/>
          <w:szCs w:val="21"/>
          <w:highlight w:val="none"/>
          <w:lang w:eastAsia="zh-TW"/>
        </w:rPr>
        <w:t>符合性审查不合格或无效投标者</w:t>
      </w:r>
      <w:r>
        <w:rPr>
          <w:rFonts w:hint="eastAsia" w:ascii="宋体" w:hAnsi="宋体" w:cs="宋体"/>
          <w:color w:val="auto"/>
          <w:szCs w:val="21"/>
          <w:highlight w:val="none"/>
        </w:rPr>
        <w:t>可</w:t>
      </w:r>
      <w:r>
        <w:rPr>
          <w:rFonts w:hint="eastAsia" w:ascii="宋体" w:hAnsi="宋体" w:cs="宋体"/>
          <w:color w:val="auto"/>
          <w:szCs w:val="21"/>
          <w:highlight w:val="none"/>
          <w:lang w:eastAsia="zh-TW"/>
        </w:rPr>
        <w:t>实行告知</w:t>
      </w:r>
      <w:r>
        <w:rPr>
          <w:rFonts w:hint="eastAsia" w:ascii="宋体" w:cs="宋体"/>
          <w:color w:val="auto"/>
          <w:szCs w:val="21"/>
          <w:highlight w:val="none"/>
        </w:rPr>
        <w:t>投标当事人</w:t>
      </w:r>
      <w:r>
        <w:rPr>
          <w:rFonts w:hint="eastAsia" w:ascii="宋体" w:hAnsi="宋体" w:cs="宋体"/>
          <w:color w:val="auto"/>
          <w:szCs w:val="21"/>
          <w:highlight w:val="none"/>
        </w:rPr>
        <w:t>，</w:t>
      </w:r>
      <w:r>
        <w:rPr>
          <w:rFonts w:hint="eastAsia" w:ascii="宋体" w:hAnsi="宋体" w:cs="宋体"/>
          <w:color w:val="auto"/>
          <w:szCs w:val="21"/>
          <w:highlight w:val="none"/>
          <w:lang w:eastAsia="zh-TW"/>
        </w:rPr>
        <w:t>由评标委员会主任或招标人代表将集体意见现场及时告知投标当事人，以让其核证、澄清事实。</w:t>
      </w:r>
      <w:r>
        <w:rPr>
          <w:rFonts w:hint="eastAsia" w:ascii="宋体" w:cs="宋体"/>
          <w:color w:val="auto"/>
          <w:szCs w:val="21"/>
          <w:highlight w:val="none"/>
        </w:rPr>
        <w:t>未通过资格符合性审查的投标人，不进入价格评审。</w:t>
      </w:r>
    </w:p>
    <w:p>
      <w:pPr>
        <w:pStyle w:val="31"/>
        <w:widowControl/>
        <w:numPr>
          <w:ilvl w:val="2"/>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详细评审：</w:t>
      </w:r>
    </w:p>
    <w:p>
      <w:pPr>
        <w:pStyle w:val="31"/>
        <w:widowControl/>
        <w:numPr>
          <w:ilvl w:val="3"/>
          <w:numId w:val="6"/>
        </w:numPr>
        <w:spacing w:line="360" w:lineRule="auto"/>
        <w:ind w:firstLineChars="0"/>
        <w:jc w:val="left"/>
        <w:rPr>
          <w:rFonts w:ascii="宋体" w:cs="宋体"/>
          <w:color w:val="auto"/>
          <w:szCs w:val="21"/>
          <w:highlight w:val="none"/>
        </w:rPr>
      </w:pPr>
      <w:r>
        <w:rPr>
          <w:rFonts w:hint="eastAsia" w:ascii="宋体" w:cs="宋体"/>
          <w:color w:val="auto"/>
          <w:szCs w:val="21"/>
          <w:highlight w:val="none"/>
        </w:rPr>
        <w:t>评标委员会对资格符合性审查合格的投标文件进</w:t>
      </w:r>
      <w:r>
        <w:rPr>
          <w:rFonts w:hint="eastAsia" w:ascii="宋体" w:cs="宋体"/>
          <w:strike w:val="0"/>
          <w:dstrike w:val="0"/>
          <w:color w:val="auto"/>
          <w:szCs w:val="21"/>
          <w:highlight w:val="none"/>
        </w:rPr>
        <w:t>行</w:t>
      </w:r>
      <w:r>
        <w:rPr>
          <w:rFonts w:hint="eastAsia" w:ascii="宋体" w:cs="宋体"/>
          <w:strike w:val="0"/>
          <w:dstrike w:val="0"/>
          <w:color w:val="auto"/>
          <w:szCs w:val="21"/>
          <w:highlight w:val="none"/>
          <w:lang w:val="en-US" w:eastAsia="zh-CN"/>
        </w:rPr>
        <w:t>价格</w:t>
      </w:r>
      <w:r>
        <w:rPr>
          <w:rFonts w:hint="eastAsia" w:ascii="宋体" w:cs="宋体"/>
          <w:color w:val="auto"/>
          <w:szCs w:val="21"/>
          <w:highlight w:val="none"/>
        </w:rPr>
        <w:t>评估，综合比较与评价。具体价格部分的评审因素详见《</w:t>
      </w:r>
      <w:r>
        <w:rPr>
          <w:rFonts w:hint="eastAsia" w:ascii="宋体" w:cs="宋体"/>
          <w:color w:val="auto"/>
          <w:szCs w:val="21"/>
          <w:highlight w:val="none"/>
          <w:lang w:val="en-US" w:eastAsia="zh-CN"/>
        </w:rPr>
        <w:t>价格</w:t>
      </w:r>
      <w:r>
        <w:rPr>
          <w:rFonts w:hint="eastAsia" w:ascii="宋体" w:cs="宋体"/>
          <w:color w:val="auto"/>
          <w:szCs w:val="21"/>
          <w:highlight w:val="none"/>
        </w:rPr>
        <w:t>评</w:t>
      </w:r>
      <w:r>
        <w:rPr>
          <w:rFonts w:hint="eastAsia" w:ascii="宋体" w:cs="宋体"/>
          <w:color w:val="auto"/>
          <w:szCs w:val="21"/>
          <w:highlight w:val="none"/>
          <w:lang w:val="en-US" w:eastAsia="zh-CN"/>
        </w:rPr>
        <w:t>审</w:t>
      </w:r>
      <w:r>
        <w:rPr>
          <w:rFonts w:hint="eastAsia" w:ascii="宋体" w:cs="宋体"/>
          <w:color w:val="auto"/>
          <w:szCs w:val="21"/>
          <w:highlight w:val="none"/>
        </w:rPr>
        <w:t>表》。</w:t>
      </w:r>
    </w:p>
    <w:p>
      <w:pPr>
        <w:pStyle w:val="32"/>
        <w:widowControl/>
        <w:numPr>
          <w:ilvl w:val="2"/>
          <w:numId w:val="6"/>
        </w:numPr>
        <w:autoSpaceDE/>
        <w:autoSpaceDN/>
        <w:adjustRightInd/>
        <w:spacing w:line="360" w:lineRule="auto"/>
        <w:ind w:firstLineChars="0"/>
        <w:rPr>
          <w:rFonts w:ascii="宋体" w:cs="宋体"/>
          <w:color w:val="auto"/>
          <w:sz w:val="21"/>
          <w:szCs w:val="21"/>
          <w:highlight w:val="none"/>
        </w:rPr>
      </w:pPr>
      <w:r>
        <w:rPr>
          <w:rFonts w:hint="eastAsia" w:ascii="宋体" w:hAnsi="宋体"/>
          <w:bCs/>
          <w:color w:val="auto"/>
          <w:sz w:val="21"/>
          <w:szCs w:val="21"/>
          <w:highlight w:val="none"/>
        </w:rPr>
        <w:t>评标过程中，不得去掉报价中的最高报价和最低报价。</w:t>
      </w:r>
    </w:p>
    <w:p>
      <w:pPr>
        <w:pStyle w:val="31"/>
        <w:widowControl/>
        <w:numPr>
          <w:ilvl w:val="2"/>
          <w:numId w:val="6"/>
        </w:numPr>
        <w:spacing w:line="360" w:lineRule="auto"/>
        <w:ind w:firstLineChars="0"/>
        <w:jc w:val="left"/>
        <w:rPr>
          <w:rFonts w:ascii="宋体" w:hAnsi="宋体" w:cs="宋体"/>
          <w:b/>
          <w:bCs/>
          <w:color w:val="auto"/>
          <w:szCs w:val="21"/>
          <w:highlight w:val="none"/>
          <w:lang w:eastAsia="zh-TW"/>
        </w:rPr>
      </w:pPr>
      <w:r>
        <w:rPr>
          <w:rFonts w:hint="eastAsia"/>
          <w:color w:val="auto"/>
          <w:szCs w:val="21"/>
          <w:highlight w:val="none"/>
        </w:rPr>
        <w:t>评标时，评标委员会各成员应当独立对每个投标人的投标文件进行评价，并汇总每个投标人的得分</w:t>
      </w:r>
      <w:r>
        <w:rPr>
          <w:rFonts w:hint="eastAsia" w:ascii="宋体" w:hAnsi="宋体" w:cs="宋体"/>
          <w:b/>
          <w:bCs/>
          <w:color w:val="auto"/>
          <w:szCs w:val="21"/>
          <w:highlight w:val="none"/>
          <w:lang w:eastAsia="zh-TW"/>
        </w:rPr>
        <w:t>。</w:t>
      </w:r>
    </w:p>
    <w:p>
      <w:pPr>
        <w:pStyle w:val="31"/>
        <w:widowControl/>
        <w:numPr>
          <w:ilvl w:val="0"/>
          <w:numId w:val="6"/>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推荐中标候选人</w:t>
      </w:r>
    </w:p>
    <w:p>
      <w:pPr>
        <w:pStyle w:val="31"/>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300" w:firstLine="0" w:firstLineChars="0"/>
        <w:jc w:val="both"/>
        <w:textAlignment w:val="auto"/>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本项目按照价格评审，评标委员会按照以下原则推荐中标候选人：</w:t>
      </w:r>
      <w:r>
        <w:rPr>
          <w:rFonts w:hint="eastAsia" w:ascii="宋体" w:hAnsi="宋体"/>
          <w:color w:val="auto"/>
          <w:szCs w:val="21"/>
          <w:highlight w:val="none"/>
          <w:u w:val="single"/>
        </w:rPr>
        <w:t>评标委员会对本项目推荐</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得分排名第一的投标人为第一中</w:t>
      </w:r>
      <w:r>
        <w:rPr>
          <w:rFonts w:hint="eastAsia" w:ascii="宋体" w:hAnsi="宋体"/>
          <w:color w:val="auto"/>
          <w:szCs w:val="21"/>
          <w:highlight w:val="none"/>
          <w:u w:val="single"/>
          <w:lang w:val="en-US" w:eastAsia="zh-CN"/>
        </w:rPr>
        <w:t>标</w:t>
      </w:r>
      <w:r>
        <w:rPr>
          <w:rFonts w:hint="eastAsia" w:ascii="宋体" w:hAnsi="宋体"/>
          <w:color w:val="auto"/>
          <w:szCs w:val="21"/>
          <w:highlight w:val="none"/>
          <w:u w:val="single"/>
        </w:rPr>
        <w:t>候选人，评标</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得分排名第二、第三的为第二、第三中标候选人，</w:t>
      </w:r>
      <w:r>
        <w:rPr>
          <w:rFonts w:hint="eastAsia" w:ascii="宋体" w:hAnsi="宋体"/>
          <w:color w:val="auto"/>
          <w:szCs w:val="21"/>
          <w:highlight w:val="none"/>
          <w:u w:val="single"/>
          <w:lang w:val="en-US" w:eastAsia="zh-CN"/>
        </w:rPr>
        <w:t>共</w:t>
      </w:r>
      <w:r>
        <w:rPr>
          <w:rFonts w:hint="eastAsia" w:ascii="宋体" w:hAnsi="宋体"/>
          <w:color w:val="auto"/>
          <w:szCs w:val="21"/>
          <w:highlight w:val="none"/>
          <w:u w:val="single"/>
        </w:rPr>
        <w:t>推荐三名中标候选人</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评标委员会按照</w:t>
      </w:r>
      <w:r>
        <w:rPr>
          <w:rFonts w:hint="eastAsia" w:ascii="宋体" w:hAnsi="宋体"/>
          <w:color w:val="auto"/>
          <w:szCs w:val="21"/>
          <w:highlight w:val="none"/>
          <w:u w:val="single"/>
          <w:lang w:val="en-US" w:eastAsia="zh-CN"/>
        </w:rPr>
        <w:t>价格</w:t>
      </w:r>
      <w:r>
        <w:rPr>
          <w:rFonts w:hint="eastAsia" w:ascii="宋体" w:hAnsi="宋体"/>
          <w:color w:val="auto"/>
          <w:szCs w:val="21"/>
          <w:highlight w:val="none"/>
          <w:u w:val="single"/>
        </w:rPr>
        <w:t>得分由高到低的原则进行排序</w:t>
      </w:r>
      <w:r>
        <w:rPr>
          <w:rFonts w:hint="eastAsia" w:ascii="宋体" w:hAnsi="宋体"/>
          <w:color w:val="auto"/>
          <w:szCs w:val="21"/>
          <w:highlight w:val="none"/>
          <w:u w:val="single"/>
          <w:lang w:eastAsia="zh-CN"/>
        </w:rPr>
        <w:t>。</w:t>
      </w:r>
    </w:p>
    <w:p>
      <w:pPr>
        <w:pStyle w:val="31"/>
        <w:widowControl/>
        <w:numPr>
          <w:ilvl w:val="0"/>
          <w:numId w:val="0"/>
        </w:numPr>
        <w:spacing w:line="360" w:lineRule="auto"/>
        <w:ind w:leftChars="0"/>
        <w:jc w:val="left"/>
        <w:rPr>
          <w:rFonts w:ascii="宋体" w:hAnsi="宋体"/>
          <w:color w:val="auto"/>
          <w:szCs w:val="21"/>
          <w:highlight w:val="none"/>
          <w:u w:val="single"/>
        </w:rPr>
      </w:pPr>
    </w:p>
    <w:p>
      <w:pPr>
        <w:pStyle w:val="31"/>
        <w:widowControl/>
        <w:numPr>
          <w:ilvl w:val="0"/>
          <w:numId w:val="6"/>
        </w:numPr>
        <w:spacing w:line="360" w:lineRule="auto"/>
        <w:ind w:firstLineChars="0"/>
        <w:jc w:val="left"/>
        <w:rPr>
          <w:rFonts w:ascii="宋体" w:hAnsi="宋体"/>
          <w:b/>
          <w:color w:val="auto"/>
          <w:szCs w:val="21"/>
          <w:highlight w:val="none"/>
        </w:rPr>
      </w:pPr>
      <w:r>
        <w:rPr>
          <w:rFonts w:hint="eastAsia" w:ascii="宋体" w:hAnsi="宋体"/>
          <w:b/>
          <w:color w:val="auto"/>
          <w:szCs w:val="21"/>
          <w:highlight w:val="none"/>
        </w:rPr>
        <w:t>定标</w:t>
      </w:r>
    </w:p>
    <w:p>
      <w:pPr>
        <w:pStyle w:val="31"/>
        <w:widowControl/>
        <w:numPr>
          <w:ilvl w:val="1"/>
          <w:numId w:val="6"/>
        </w:numPr>
        <w:spacing w:line="360" w:lineRule="auto"/>
        <w:ind w:left="567" w:leftChars="0" w:firstLineChars="0"/>
        <w:jc w:val="left"/>
        <w:rPr>
          <w:rFonts w:ascii="宋体" w:hAnsi="宋体"/>
          <w:color w:val="auto"/>
          <w:szCs w:val="21"/>
          <w:highlight w:val="none"/>
        </w:rPr>
      </w:pPr>
      <w:r>
        <w:rPr>
          <w:rFonts w:hint="eastAsia" w:ascii="宋体" w:hAnsi="宋体"/>
          <w:color w:val="auto"/>
          <w:szCs w:val="21"/>
          <w:highlight w:val="none"/>
        </w:rPr>
        <w:t>招标代理机构</w:t>
      </w:r>
      <w:r>
        <w:rPr>
          <w:rFonts w:ascii="宋体" w:hAnsi="宋体"/>
          <w:color w:val="auto"/>
          <w:szCs w:val="21"/>
          <w:highlight w:val="none"/>
        </w:rPr>
        <w:t>提</w:t>
      </w:r>
      <w:r>
        <w:rPr>
          <w:rFonts w:hint="eastAsia" w:ascii="宋体" w:hAnsi="宋体"/>
          <w:color w:val="auto"/>
          <w:szCs w:val="21"/>
          <w:highlight w:val="none"/>
        </w:rPr>
        <w:t>交</w:t>
      </w:r>
      <w:r>
        <w:rPr>
          <w:rFonts w:ascii="宋体" w:hAnsi="宋体"/>
          <w:color w:val="auto"/>
          <w:szCs w:val="21"/>
          <w:highlight w:val="none"/>
        </w:rPr>
        <w:t>评</w:t>
      </w:r>
      <w:r>
        <w:rPr>
          <w:rFonts w:hint="eastAsia" w:ascii="宋体" w:hAnsi="宋体"/>
          <w:color w:val="auto"/>
          <w:szCs w:val="21"/>
          <w:highlight w:val="none"/>
        </w:rPr>
        <w:t>标</w:t>
      </w:r>
      <w:r>
        <w:rPr>
          <w:rFonts w:ascii="宋体" w:hAnsi="宋体"/>
          <w:color w:val="auto"/>
          <w:szCs w:val="21"/>
          <w:highlight w:val="none"/>
        </w:rPr>
        <w:t>报告报</w:t>
      </w:r>
      <w:r>
        <w:rPr>
          <w:rFonts w:hint="eastAsia" w:ascii="宋体" w:hAnsi="宋体"/>
          <w:color w:val="auto"/>
          <w:szCs w:val="21"/>
          <w:highlight w:val="none"/>
        </w:rPr>
        <w:t>招标人确认</w:t>
      </w:r>
      <w:r>
        <w:rPr>
          <w:rFonts w:hint="eastAsia" w:ascii="宋体" w:hAnsi="宋体"/>
          <w:color w:val="auto"/>
          <w:szCs w:val="21"/>
          <w:highlight w:val="none"/>
          <w:lang w:eastAsia="zh-CN"/>
        </w:rPr>
        <w:t>。</w:t>
      </w:r>
    </w:p>
    <w:p>
      <w:pPr>
        <w:pStyle w:val="31"/>
        <w:widowControl/>
        <w:numPr>
          <w:ilvl w:val="1"/>
          <w:numId w:val="6"/>
        </w:numPr>
        <w:spacing w:line="360" w:lineRule="auto"/>
        <w:ind w:left="567" w:leftChars="0" w:firstLineChars="0"/>
        <w:jc w:val="left"/>
        <w:rPr>
          <w:rFonts w:ascii="宋体" w:hAnsi="宋体"/>
          <w:color w:val="auto"/>
          <w:szCs w:val="21"/>
          <w:highlight w:val="none"/>
        </w:rPr>
      </w:pPr>
      <w:r>
        <w:rPr>
          <w:rFonts w:ascii="宋体" w:hAnsi="宋体" w:eastAsia="宋体" w:cs="宋体"/>
          <w:b w:val="0"/>
          <w:bCs w:val="0"/>
          <w:color w:val="auto"/>
          <w:sz w:val="20"/>
          <w:szCs w:val="20"/>
        </w:rPr>
        <w:t>中标人放弃中标或者中标资格被依法确认无效的，招标人可以按照排序从其他中标候选人中确定 中标人或重新组织招标活动，没有其他中标候选人的，应当重新组织招标活动</w:t>
      </w:r>
      <w:r>
        <w:rPr>
          <w:rFonts w:hint="eastAsia" w:ascii="宋体" w:hAnsi="宋体" w:eastAsia="宋体" w:cs="宋体"/>
          <w:b w:val="0"/>
          <w:bCs w:val="0"/>
          <w:color w:val="auto"/>
          <w:sz w:val="20"/>
          <w:szCs w:val="20"/>
          <w:lang w:eastAsia="zh-CN"/>
        </w:rPr>
        <w:t>。</w:t>
      </w:r>
    </w:p>
    <w:p>
      <w:pPr>
        <w:pStyle w:val="31"/>
        <w:widowControl/>
        <w:numPr>
          <w:ilvl w:val="1"/>
          <w:numId w:val="6"/>
        </w:numPr>
        <w:spacing w:line="360" w:lineRule="auto"/>
        <w:ind w:left="567" w:leftChars="0" w:firstLineChars="0"/>
        <w:jc w:val="left"/>
        <w:rPr>
          <w:rFonts w:ascii="宋体" w:hAnsi="宋体"/>
          <w:color w:val="auto"/>
          <w:szCs w:val="21"/>
          <w:highlight w:val="none"/>
          <w:u w:val="none"/>
        </w:rPr>
      </w:pPr>
      <w:r>
        <w:rPr>
          <w:rFonts w:hint="eastAsia" w:ascii="宋体" w:hAnsi="宋体"/>
          <w:color w:val="auto"/>
          <w:szCs w:val="21"/>
          <w:highlight w:val="none"/>
          <w:u w:val="none"/>
        </w:rPr>
        <w:t>中标人拒绝与招标人签订合同的，招标人可以按照评审报告推荐的中标候选人名单排序，确定下一候选人为中标人，也可以重新开展招标采购活动。</w:t>
      </w:r>
    </w:p>
    <w:p>
      <w:pPr>
        <w:pStyle w:val="31"/>
        <w:widowControl/>
        <w:numPr>
          <w:ilvl w:val="0"/>
          <w:numId w:val="6"/>
        </w:numPr>
        <w:spacing w:line="360" w:lineRule="auto"/>
        <w:ind w:firstLineChars="0"/>
        <w:jc w:val="left"/>
        <w:rPr>
          <w:rFonts w:ascii="宋体" w:hAnsi="宋体"/>
          <w:b/>
          <w:color w:val="auto"/>
          <w:szCs w:val="21"/>
          <w:highlight w:val="none"/>
        </w:rPr>
      </w:pPr>
      <w:r>
        <w:rPr>
          <w:rFonts w:ascii="宋体" w:hAnsi="宋体"/>
          <w:b/>
          <w:color w:val="auto"/>
          <w:szCs w:val="21"/>
          <w:highlight w:val="none"/>
        </w:rPr>
        <w:t>特别说明</w:t>
      </w:r>
    </w:p>
    <w:p>
      <w:pPr>
        <w:pStyle w:val="31"/>
        <w:widowControl/>
        <w:numPr>
          <w:ilvl w:val="1"/>
          <w:numId w:val="6"/>
        </w:numPr>
        <w:spacing w:line="360" w:lineRule="auto"/>
        <w:ind w:left="567" w:leftChars="0" w:firstLineChars="0"/>
        <w:jc w:val="left"/>
        <w:rPr>
          <w:rFonts w:ascii="宋体" w:hAnsi="宋体"/>
          <w:b/>
          <w:color w:val="auto"/>
          <w:szCs w:val="21"/>
          <w:highlight w:val="none"/>
        </w:rPr>
      </w:pPr>
      <w:r>
        <w:rPr>
          <w:rFonts w:hint="eastAsia" w:ascii="宋体" w:hAnsi="宋体"/>
          <w:b/>
          <w:color w:val="auto"/>
          <w:szCs w:val="21"/>
          <w:highlight w:val="none"/>
        </w:rPr>
        <w:t>有下列情形之一的，视为投标人串通投标，其投标无效：</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不同投标人委托同一单位或者个人办理投标事宜；</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不同投标人的投标文件载明的项目管理成员或者联系人员为同一人；</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不同投标人的投标文件相互混装；</w:t>
      </w:r>
    </w:p>
    <w:p>
      <w:pPr>
        <w:pStyle w:val="31"/>
        <w:widowControl/>
        <w:numPr>
          <w:ilvl w:val="2"/>
          <w:numId w:val="6"/>
        </w:numPr>
        <w:spacing w:line="360" w:lineRule="auto"/>
        <w:ind w:firstLineChars="0"/>
        <w:jc w:val="left"/>
        <w:rPr>
          <w:rFonts w:ascii="宋体" w:hAnsi="宋体"/>
          <w:color w:val="auto"/>
          <w:szCs w:val="21"/>
          <w:highlight w:val="none"/>
        </w:rPr>
      </w:pPr>
      <w:r>
        <w:rPr>
          <w:rFonts w:hint="eastAsia" w:ascii="宋体" w:hAnsi="宋体"/>
          <w:color w:val="auto"/>
          <w:szCs w:val="21"/>
          <w:highlight w:val="none"/>
        </w:rPr>
        <w:t>不同投标人的投标保证金从同一单位或者个人的账户转出。</w:t>
      </w:r>
    </w:p>
    <w:p>
      <w:pPr>
        <w:tabs>
          <w:tab w:val="left" w:pos="420"/>
          <w:tab w:val="left" w:pos="630"/>
        </w:tabs>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说明：</w:t>
      </w:r>
    </w:p>
    <w:p>
      <w:pPr>
        <w:pStyle w:val="32"/>
        <w:numPr>
          <w:ilvl w:val="0"/>
          <w:numId w:val="7"/>
        </w:numPr>
        <w:tabs>
          <w:tab w:val="left" w:pos="426"/>
        </w:tabs>
        <w:spacing w:line="360" w:lineRule="auto"/>
        <w:ind w:firstLineChars="0"/>
        <w:jc w:val="both"/>
        <w:rPr>
          <w:rFonts w:ascii="宋体" w:hAnsi="宋体"/>
          <w:color w:val="auto"/>
          <w:kern w:val="2"/>
          <w:sz w:val="21"/>
          <w:szCs w:val="21"/>
          <w:highlight w:val="none"/>
          <w:lang w:val="en-US"/>
        </w:rPr>
      </w:pPr>
      <w:r>
        <w:rPr>
          <w:rFonts w:hint="eastAsia" w:ascii="宋体" w:hAnsi="宋体"/>
          <w:color w:val="auto"/>
          <w:sz w:val="21"/>
          <w:szCs w:val="21"/>
          <w:highlight w:val="none"/>
        </w:rPr>
        <w:t>投标人必须严格按照《资格、符合性审查表》的评审内容的要求如实提供证明材料并</w:t>
      </w:r>
      <w:r>
        <w:rPr>
          <w:rFonts w:hint="eastAsia" w:ascii="宋体" w:hAnsi="宋体"/>
          <w:color w:val="auto"/>
          <w:kern w:val="2"/>
          <w:sz w:val="21"/>
          <w:szCs w:val="21"/>
          <w:highlight w:val="none"/>
          <w:lang w:val="en-US"/>
        </w:rPr>
        <w:t>应加盖投标人公章，若投标人不满足</w:t>
      </w:r>
      <w:r>
        <w:rPr>
          <w:rFonts w:hint="eastAsia" w:ascii="宋体" w:hAnsi="宋体"/>
          <w:color w:val="auto"/>
          <w:sz w:val="21"/>
          <w:szCs w:val="21"/>
          <w:highlight w:val="none"/>
        </w:rPr>
        <w:t>《资格、符合性审查表</w:t>
      </w:r>
      <w:r>
        <w:rPr>
          <w:rFonts w:hint="eastAsia" w:ascii="宋体" w:hAnsi="宋体"/>
          <w:color w:val="auto"/>
          <w:kern w:val="2"/>
          <w:sz w:val="21"/>
          <w:szCs w:val="21"/>
          <w:highlight w:val="none"/>
          <w:lang w:val="en-US"/>
        </w:rPr>
        <w:t>》中任何情形之一的，则其投标无效。</w:t>
      </w:r>
    </w:p>
    <w:p>
      <w:pPr>
        <w:pStyle w:val="32"/>
        <w:numPr>
          <w:ilvl w:val="0"/>
          <w:numId w:val="7"/>
        </w:numPr>
        <w:tabs>
          <w:tab w:val="left" w:pos="426"/>
        </w:tabs>
        <w:spacing w:line="360" w:lineRule="auto"/>
        <w:ind w:firstLineChars="0"/>
        <w:jc w:val="both"/>
        <w:rPr>
          <w:rFonts w:ascii="宋体" w:hAnsi="宋体"/>
          <w:color w:val="auto"/>
          <w:kern w:val="2"/>
          <w:sz w:val="21"/>
          <w:szCs w:val="24"/>
          <w:highlight w:val="none"/>
          <w:lang w:val="en-US"/>
        </w:rPr>
      </w:pPr>
      <w:r>
        <w:rPr>
          <w:rFonts w:hint="eastAsia" w:ascii="宋体" w:hAnsi="宋体"/>
          <w:color w:val="auto"/>
          <w:kern w:val="2"/>
          <w:sz w:val="21"/>
          <w:szCs w:val="24"/>
          <w:highlight w:val="none"/>
          <w:lang w:val="en-US"/>
        </w:rPr>
        <w:t>投标人应如实提交《</w:t>
      </w:r>
      <w:r>
        <w:rPr>
          <w:rFonts w:hint="eastAsia" w:ascii="宋体" w:hAnsi="宋体"/>
          <w:color w:val="auto"/>
          <w:kern w:val="2"/>
          <w:sz w:val="21"/>
          <w:szCs w:val="24"/>
          <w:highlight w:val="none"/>
          <w:lang w:val="en-US" w:eastAsia="zh-CN"/>
        </w:rPr>
        <w:t>价格</w:t>
      </w:r>
      <w:r>
        <w:rPr>
          <w:rFonts w:hint="eastAsia" w:ascii="宋体" w:hAnsi="宋体"/>
          <w:color w:val="auto"/>
          <w:kern w:val="2"/>
          <w:sz w:val="21"/>
          <w:szCs w:val="24"/>
          <w:highlight w:val="none"/>
          <w:lang w:val="en-US"/>
        </w:rPr>
        <w:t>评分表》要求提交的相关各类证明、资料等并应加盖投标人公章，投标人如未按要求提交的，该项评分为零分。</w:t>
      </w:r>
    </w:p>
    <w:p>
      <w:pPr>
        <w:pStyle w:val="32"/>
        <w:numPr>
          <w:ilvl w:val="0"/>
          <w:numId w:val="7"/>
        </w:numPr>
        <w:tabs>
          <w:tab w:val="left" w:pos="426"/>
        </w:tabs>
        <w:spacing w:line="360" w:lineRule="auto"/>
        <w:ind w:firstLineChars="0"/>
        <w:jc w:val="both"/>
        <w:rPr>
          <w:rFonts w:hint="eastAsia"/>
          <w:color w:val="auto"/>
          <w:highlight w:val="none"/>
          <w:lang w:eastAsia="zh-CN"/>
        </w:rPr>
      </w:pPr>
      <w:r>
        <w:rPr>
          <w:rFonts w:hint="eastAsia" w:ascii="宋体" w:hAnsi="宋体"/>
          <w:color w:val="auto"/>
          <w:kern w:val="2"/>
          <w:sz w:val="21"/>
          <w:szCs w:val="24"/>
          <w:highlight w:val="none"/>
          <w:lang w:val="en-US"/>
        </w:rPr>
        <w:t>投标报价得分四舍五入后，小数点后保留两位有效数。</w:t>
      </w:r>
    </w:p>
    <w:p>
      <w:pPr>
        <w:pStyle w:val="6"/>
        <w:numPr>
          <w:ilvl w:val="0"/>
          <w:numId w:val="0"/>
        </w:numPr>
        <w:rPr>
          <w:color w:val="auto"/>
          <w:highlight w:val="none"/>
        </w:rPr>
      </w:pPr>
    </w:p>
    <w:p>
      <w:pPr>
        <w:spacing w:before="120" w:beforeLines="50" w:after="120" w:afterLines="50" w:line="288" w:lineRule="auto"/>
        <w:jc w:val="center"/>
        <w:rPr>
          <w:rFonts w:hint="eastAsia" w:ascii="宋体" w:hAnsi="宋体" w:eastAsia="宋体" w:cs="宋体"/>
          <w:b/>
          <w:color w:val="auto"/>
          <w:sz w:val="30"/>
          <w:szCs w:val="30"/>
          <w:highlight w:val="none"/>
        </w:rPr>
      </w:pPr>
      <w:bookmarkStart w:id="9" w:name="_Toc435514846"/>
    </w:p>
    <w:p>
      <w:pPr>
        <w:spacing w:before="120" w:beforeLines="50" w:after="120" w:afterLines="50" w:line="288" w:lineRule="auto"/>
        <w:jc w:val="both"/>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21"/>
        <w:rPr>
          <w:rFonts w:hint="eastAsia" w:ascii="宋体" w:hAnsi="宋体" w:eastAsia="宋体" w:cs="宋体"/>
          <w:b/>
          <w:color w:val="auto"/>
          <w:sz w:val="30"/>
          <w:szCs w:val="30"/>
          <w:highlight w:val="none"/>
        </w:rPr>
      </w:pPr>
    </w:p>
    <w:p>
      <w:pPr>
        <w:pStyle w:val="6"/>
        <w:rPr>
          <w:rFonts w:hint="eastAsia" w:ascii="宋体" w:hAnsi="宋体" w:eastAsia="宋体" w:cs="宋体"/>
          <w:b/>
          <w:color w:val="auto"/>
          <w:sz w:val="30"/>
          <w:szCs w:val="30"/>
          <w:highlight w:val="none"/>
        </w:rPr>
      </w:pPr>
    </w:p>
    <w:p>
      <w:pPr>
        <w:rPr>
          <w:rFonts w:hint="eastAsia"/>
          <w:color w:val="auto"/>
          <w:highlight w:val="none"/>
        </w:rPr>
      </w:pPr>
    </w:p>
    <w:p>
      <w:pPr>
        <w:adjustRightInd w:val="0"/>
        <w:snapToGrid w:val="0"/>
        <w:spacing w:before="156" w:beforeLines="50"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资格、符合性审查表</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8" w:type="dxa"/>
            <w:vAlign w:val="center"/>
          </w:tcPr>
          <w:p>
            <w:pPr>
              <w:jc w:val="center"/>
              <w:rPr>
                <w:rFonts w:ascii="宋体" w:cs="宋体"/>
                <w:b/>
                <w:color w:val="auto"/>
                <w:highlight w:val="none"/>
              </w:rPr>
            </w:pPr>
            <w:r>
              <w:rPr>
                <w:rFonts w:hint="eastAsia" w:ascii="宋体" w:cs="宋体"/>
                <w:b/>
                <w:color w:val="auto"/>
                <w:highlight w:val="none"/>
              </w:rPr>
              <w:t>序号</w:t>
            </w:r>
          </w:p>
        </w:tc>
        <w:tc>
          <w:tcPr>
            <w:tcW w:w="8283" w:type="dxa"/>
            <w:vAlign w:val="center"/>
          </w:tcPr>
          <w:p>
            <w:pPr>
              <w:jc w:val="center"/>
              <w:rPr>
                <w:rFonts w:ascii="宋体" w:cs="宋体"/>
                <w:b/>
                <w:color w:val="auto"/>
                <w:highlight w:val="none"/>
              </w:rPr>
            </w:pPr>
            <w:r>
              <w:rPr>
                <w:rFonts w:hint="eastAsia" w:ascii="宋体" w:hAnsi="宋体" w:cs="宋体"/>
                <w:b/>
                <w:color w:val="auto"/>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投标函已提交并符合招标文件要求的，且投标有效期满足招标文件要求的；</w:t>
            </w:r>
            <w:r>
              <w:rPr>
                <w:rFonts w:ascii="宋体" w:hAnsi="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符合招标文件中规定资格要求的及资格证明文件齐全；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投标人声明已提交并符合招标文件要求的；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按照招标文件规定要求签署、盖章且投标文件有法定代表人签字，或签字人有法定代表人有效授权书的；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投标下浮率确定且在</w:t>
            </w:r>
            <w:r>
              <w:rPr>
                <w:rFonts w:hint="eastAsia" w:ascii="宋体" w:hAnsi="宋体" w:cs="宋体"/>
                <w:color w:val="auto"/>
                <w:highlight w:val="none"/>
                <w:lang w:val="en-US" w:eastAsia="zh-CN"/>
              </w:rPr>
              <w:t>0</w:t>
            </w:r>
            <w:r>
              <w:rPr>
                <w:rFonts w:hint="eastAsia" w:ascii="宋体" w:hAnsi="宋体" w:cs="宋体"/>
                <w:color w:val="auto"/>
                <w:highlight w:val="none"/>
              </w:rPr>
              <w:t>%</w:t>
            </w:r>
            <w:r>
              <w:rPr>
                <w:rFonts w:hint="eastAsia" w:ascii="宋体" w:hAnsi="宋体" w:cs="宋体"/>
                <w:color w:val="auto"/>
                <w:highlight w:val="none"/>
                <w:lang w:val="en-US" w:eastAsia="zh-CN"/>
              </w:rPr>
              <w:t>~</w:t>
            </w:r>
            <w:r>
              <w:rPr>
                <w:rFonts w:hint="eastAsia" w:ascii="宋体" w:hAnsi="宋体" w:cs="宋体"/>
                <w:color w:val="auto"/>
                <w:highlight w:val="none"/>
              </w:rPr>
              <w:t>100%范围内；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投标文件完全满足招标文件</w:t>
            </w:r>
            <w:r>
              <w:rPr>
                <w:rFonts w:hint="eastAsia" w:ascii="宋体" w:hAnsi="宋体"/>
                <w:bCs/>
                <w:color w:val="auto"/>
                <w:szCs w:val="21"/>
                <w:highlight w:val="none"/>
              </w:rPr>
              <w:t>以</w:t>
            </w:r>
            <w:r>
              <w:rPr>
                <w:rFonts w:ascii="宋体" w:hAnsi="宋体"/>
                <w:bCs/>
                <w:color w:val="auto"/>
                <w:szCs w:val="21"/>
                <w:highlight w:val="none"/>
              </w:rPr>
              <w:t>“</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标明</w:t>
            </w:r>
            <w:r>
              <w:rPr>
                <w:rFonts w:hint="eastAsia" w:ascii="宋体" w:hAnsi="宋体" w:cs="宋体"/>
                <w:color w:val="auto"/>
                <w:highlight w:val="none"/>
              </w:rPr>
              <w:t>的实质性条款要求的；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投标文件没有招标人不能接受的附加条件的；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投标文件没有出现串通投标情形的；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8"/>
              </w:numPr>
              <w:tabs>
                <w:tab w:val="left" w:pos="176"/>
                <w:tab w:val="left" w:pos="612"/>
              </w:tabs>
              <w:jc w:val="center"/>
              <w:rPr>
                <w:rFonts w:ascii="宋体" w:hAnsi="宋体" w:cs="宋体"/>
                <w:color w:val="auto"/>
                <w:highlight w:val="none"/>
              </w:rPr>
            </w:pPr>
          </w:p>
        </w:tc>
        <w:tc>
          <w:tcPr>
            <w:tcW w:w="8283" w:type="dxa"/>
            <w:vAlign w:val="center"/>
          </w:tcPr>
          <w:p>
            <w:pPr>
              <w:tabs>
                <w:tab w:val="left" w:pos="612"/>
              </w:tabs>
              <w:rPr>
                <w:rFonts w:ascii="宋体" w:hAnsi="宋体" w:cs="宋体"/>
                <w:color w:val="auto"/>
                <w:highlight w:val="none"/>
              </w:rPr>
            </w:pPr>
            <w:r>
              <w:rPr>
                <w:rFonts w:hint="eastAsia" w:ascii="宋体" w:hAnsi="宋体" w:cs="宋体"/>
                <w:color w:val="auto"/>
                <w:highlight w:val="none"/>
              </w:rPr>
              <w:t>投标文件没有招标文件中规定的其他无效投标条款的；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88" w:type="dxa"/>
            <w:vAlign w:val="center"/>
          </w:tcPr>
          <w:p>
            <w:pPr>
              <w:numPr>
                <w:ilvl w:val="0"/>
                <w:numId w:val="0"/>
              </w:numPr>
              <w:tabs>
                <w:tab w:val="left" w:pos="176"/>
                <w:tab w:val="left" w:pos="612"/>
              </w:tabs>
              <w:ind w:left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8283" w:type="dxa"/>
            <w:vAlign w:val="center"/>
          </w:tcPr>
          <w:p>
            <w:pPr>
              <w:tabs>
                <w:tab w:val="left" w:pos="612"/>
              </w:tabs>
              <w:rPr>
                <w:rFonts w:ascii="宋体" w:hAnsi="宋体" w:cs="宋体"/>
                <w:color w:val="auto"/>
                <w:highlight w:val="none"/>
              </w:rPr>
            </w:pPr>
            <w:r>
              <w:rPr>
                <w:rFonts w:hint="eastAsia" w:ascii="宋体" w:hAnsi="宋体"/>
                <w:color w:val="auto"/>
                <w:szCs w:val="21"/>
                <w:highlight w:val="none"/>
              </w:rPr>
              <w:t>没有法律、法规规定的其他无效情形。</w:t>
            </w:r>
          </w:p>
        </w:tc>
      </w:tr>
    </w:tbl>
    <w:p>
      <w:pPr>
        <w:spacing w:before="120" w:beforeLines="50" w:after="120" w:afterLines="50" w:line="288" w:lineRule="auto"/>
        <w:jc w:val="left"/>
        <w:rPr>
          <w:rFonts w:hint="eastAsia" w:ascii="宋体" w:hAnsi="宋体" w:eastAsia="宋体" w:cs="宋体"/>
          <w:b/>
          <w:color w:val="auto"/>
          <w:sz w:val="21"/>
          <w:szCs w:val="21"/>
          <w:highlight w:val="none"/>
        </w:rPr>
      </w:pPr>
      <w:r>
        <w:rPr>
          <w:rFonts w:hint="eastAsia" w:ascii="宋体" w:hAnsi="宋体" w:eastAsia="宋体" w:cs="宋体"/>
          <w:color w:val="auto"/>
          <w:highlight w:val="none"/>
        </w:rPr>
        <w:t xml:space="preserve">评委签名：   </w:t>
      </w:r>
    </w:p>
    <w:p>
      <w:pPr>
        <w:rPr>
          <w:rFonts w:hint="eastAsia"/>
          <w:color w:val="auto"/>
          <w:highlight w:val="none"/>
          <w:lang w:val="en-US" w:eastAsia="zh-CN"/>
        </w:rPr>
      </w:pPr>
    </w:p>
    <w:p>
      <w:pPr>
        <w:bidi w:val="0"/>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bookmarkEnd w:id="9"/>
    <w:p>
      <w:pPr>
        <w:adjustRightInd w:val="0"/>
        <w:snapToGrid w:val="0"/>
        <w:spacing w:line="360" w:lineRule="auto"/>
        <w:jc w:val="center"/>
        <w:outlineLvl w:val="1"/>
        <w:rPr>
          <w:rFonts w:hint="eastAsia" w:ascii="黑体" w:hAnsi="宋体" w:eastAsia="黑体" w:cs="宋体"/>
          <w:color w:val="auto"/>
          <w:sz w:val="28"/>
          <w:szCs w:val="28"/>
          <w:highlight w:val="none"/>
        </w:rPr>
      </w:pPr>
      <w:bookmarkStart w:id="10" w:name="_Toc435514849"/>
      <w:bookmarkStart w:id="11" w:name="_Toc19118"/>
      <w:bookmarkStart w:id="12" w:name="_Toc435115054"/>
    </w:p>
    <w:p>
      <w:pPr>
        <w:adjustRightInd w:val="0"/>
        <w:snapToGrid w:val="0"/>
        <w:spacing w:line="360" w:lineRule="auto"/>
        <w:jc w:val="center"/>
        <w:outlineLvl w:val="1"/>
        <w:rPr>
          <w:rFonts w:ascii="黑体" w:hAnsi="宋体" w:eastAsia="黑体" w:cs="宋体"/>
          <w:color w:val="auto"/>
          <w:sz w:val="28"/>
          <w:szCs w:val="28"/>
          <w:highlight w:val="none"/>
        </w:rPr>
      </w:pPr>
      <w:r>
        <w:rPr>
          <w:rFonts w:hint="eastAsia" w:ascii="黑体" w:hAnsi="宋体" w:eastAsia="黑体" w:cs="宋体"/>
          <w:color w:val="auto"/>
          <w:sz w:val="28"/>
          <w:szCs w:val="28"/>
          <w:highlight w:val="none"/>
        </w:rPr>
        <w:t>价格评分表</w:t>
      </w: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12"/>
        <w:gridCol w:w="612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val="0"/>
                <w:bCs w:val="0"/>
                <w:color w:val="auto"/>
                <w:sz w:val="21"/>
                <w:szCs w:val="21"/>
                <w:highlight w:val="none"/>
              </w:rPr>
            </w:pPr>
            <w:bookmarkStart w:id="13" w:name="_Toc435514848"/>
            <w:r>
              <w:rPr>
                <w:rFonts w:hint="eastAsia" w:ascii="宋体" w:hAnsi="宋体" w:eastAsia="宋体" w:cs="宋体"/>
                <w:b w:val="0"/>
                <w:bCs w:val="0"/>
                <w:color w:val="auto"/>
                <w:sz w:val="21"/>
                <w:szCs w:val="21"/>
                <w:highlight w:val="none"/>
              </w:rPr>
              <w:t>序号</w:t>
            </w:r>
          </w:p>
        </w:tc>
        <w:tc>
          <w:tcPr>
            <w:tcW w:w="1112"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内容</w:t>
            </w:r>
          </w:p>
        </w:tc>
        <w:tc>
          <w:tcPr>
            <w:tcW w:w="6127"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评审内容及分值</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1" w:type="dxa"/>
            <w:gridSpan w:val="4"/>
            <w:vAlign w:val="center"/>
          </w:tcPr>
          <w:p>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价格</w:t>
            </w:r>
            <w:r>
              <w:rPr>
                <w:rFonts w:hint="eastAsia" w:ascii="宋体" w:hAnsi="宋体" w:eastAsia="宋体" w:cs="宋体"/>
                <w:b/>
                <w:bCs/>
                <w:color w:val="auto"/>
                <w:sz w:val="21"/>
                <w:szCs w:val="21"/>
                <w:highlight w:val="none"/>
                <w:lang w:val="en-US" w:eastAsia="zh-CN"/>
              </w:rPr>
              <w:t>得</w:t>
            </w:r>
            <w:r>
              <w:rPr>
                <w:rFonts w:hint="eastAsia" w:ascii="宋体" w:hAnsi="宋体" w:eastAsia="宋体" w:cs="宋体"/>
                <w:b/>
                <w:bCs/>
                <w:color w:val="auto"/>
                <w:sz w:val="21"/>
                <w:szCs w:val="21"/>
                <w:highlight w:val="none"/>
              </w:rPr>
              <w:t>分（</w:t>
            </w:r>
            <w:r>
              <w:rPr>
                <w:rFonts w:hint="eastAsia" w:ascii="宋体" w:hAnsi="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9</w:t>
            </w:r>
          </w:p>
        </w:tc>
        <w:tc>
          <w:tcPr>
            <w:tcW w:w="1112"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价格</w:t>
            </w:r>
            <w:r>
              <w:rPr>
                <w:rFonts w:hint="eastAsia" w:ascii="宋体" w:hAnsi="宋体" w:eastAsia="宋体" w:cs="宋体"/>
                <w:b w:val="0"/>
                <w:bCs w:val="0"/>
                <w:color w:val="auto"/>
                <w:kern w:val="0"/>
                <w:sz w:val="21"/>
                <w:szCs w:val="21"/>
                <w:highlight w:val="none"/>
              </w:rPr>
              <w:t>得分</w:t>
            </w:r>
          </w:p>
        </w:tc>
        <w:tc>
          <w:tcPr>
            <w:tcW w:w="6127" w:type="dxa"/>
            <w:vAlign w:val="center"/>
          </w:tcPr>
          <w:p>
            <w:pPr>
              <w:pStyle w:val="43"/>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1、投标人应根据企业自身实力报出统一的投标单价下浮率b%。下浮率b值为固定值，不得为区间值，b值精确到小数点后两位，b值范围：0%≤b%≤100%，即投标人报价按单价下浮0%-100%。</w:t>
            </w:r>
          </w:p>
          <w:p>
            <w:pPr>
              <w:pStyle w:val="43"/>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满足招标文件要求且投标价格最低的投标报价为评标基准价，其价格分为满分，价格分统一按照下列公式计算</w:t>
            </w:r>
            <w:r>
              <w:rPr>
                <w:rFonts w:hint="eastAsia" w:ascii="宋体" w:hAnsi="宋体" w:eastAsia="宋体" w:cs="宋体"/>
                <w:b w:val="0"/>
                <w:bCs w:val="0"/>
                <w:color w:val="auto"/>
                <w:sz w:val="21"/>
                <w:szCs w:val="21"/>
                <w:highlight w:val="none"/>
                <w:lang w:eastAsia="zh-CN"/>
              </w:rPr>
              <w:t>：</w:t>
            </w:r>
          </w:p>
          <w:p>
            <w:pPr>
              <w:pStyle w:val="43"/>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价格得分</w:t>
            </w:r>
            <w:r>
              <w:rPr>
                <w:rFonts w:hint="eastAsia" w:ascii="宋体" w:hAnsi="宋体" w:eastAsia="宋体" w:cs="宋体"/>
                <w:b w:val="0"/>
                <w:bCs w:val="0"/>
                <w:color w:val="auto"/>
                <w:sz w:val="21"/>
                <w:szCs w:val="21"/>
                <w:highlight w:val="none"/>
              </w:rPr>
              <w:t>=（评标基准价／投标报价)×分值；</w:t>
            </w:r>
          </w:p>
          <w:p>
            <w:pPr>
              <w:pStyle w:val="43"/>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投标报价以“1-下浮率”进行价格评分的计算。</w:t>
            </w:r>
          </w:p>
          <w:p>
            <w:pPr>
              <w:pStyle w:val="43"/>
              <w:jc w:val="left"/>
              <w:rPr>
                <w:rFonts w:hint="default"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CN"/>
              </w:rPr>
              <w:t>2.投标报价得分以各投标单位最终报价（下浮率）作为评审价。</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Hans"/>
              </w:rPr>
              <w:t>在评标过程中，评标委员会认为投标人的报价明显低于其他通过符合性审查投标人的报价，有可能影响产品质量或者不能诚信履约的，应当要求其在评标现场合理的时间内提供书面说明，必要时提交相关证明材料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Hans"/>
              </w:rPr>
              <w:t>投标人不能证明其报价合理性的，评标委员会应将其作为无效投标处理。</w:t>
            </w:r>
          </w:p>
        </w:tc>
        <w:tc>
          <w:tcPr>
            <w:tcW w:w="826"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100</w:t>
            </w:r>
          </w:p>
        </w:tc>
      </w:tr>
    </w:tbl>
    <w:p>
      <w:pPr>
        <w:spacing w:before="156" w:beforeLines="50" w:after="156" w:afterLines="50" w:line="360" w:lineRule="auto"/>
        <w:jc w:val="center"/>
        <w:outlineLvl w:val="0"/>
        <w:rPr>
          <w:rFonts w:hint="default" w:eastAsia="宋体"/>
          <w:color w:val="auto"/>
          <w:highlight w:val="none"/>
          <w:lang w:val="en-US" w:eastAsia="zh-CN"/>
        </w:rPr>
      </w:pPr>
      <w:r>
        <w:rPr>
          <w:rFonts w:hint="eastAsia" w:ascii="宋体" w:hAnsi="宋体" w:eastAsia="宋体" w:cs="宋体"/>
          <w:color w:val="auto"/>
          <w:sz w:val="21"/>
          <w:szCs w:val="21"/>
          <w:highlight w:val="none"/>
        </w:rPr>
        <w:br w:type="page"/>
      </w:r>
      <w:bookmarkEnd w:id="13"/>
      <w:r>
        <w:rPr>
          <w:rFonts w:hint="eastAsia"/>
          <w:b/>
          <w:bCs/>
          <w:color w:val="auto"/>
          <w:sz w:val="28"/>
          <w:szCs w:val="28"/>
          <w:highlight w:val="none"/>
        </w:rPr>
        <w:t xml:space="preserve">第四章 </w:t>
      </w:r>
      <w:bookmarkEnd w:id="10"/>
      <w:bookmarkEnd w:id="11"/>
      <w:bookmarkEnd w:id="12"/>
      <w:r>
        <w:rPr>
          <w:rFonts w:hint="eastAsia"/>
          <w:b/>
          <w:bCs/>
          <w:color w:val="auto"/>
          <w:sz w:val="28"/>
          <w:szCs w:val="28"/>
          <w:highlight w:val="none"/>
          <w:lang w:val="en-US" w:eastAsia="zh-CN"/>
        </w:rPr>
        <w:t>招标人要求</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ascii="宋体"/>
          <w:b/>
          <w:bCs/>
          <w:color w:val="auto"/>
          <w:szCs w:val="20"/>
          <w:highlight w:val="none"/>
        </w:rPr>
      </w:pPr>
      <w:r>
        <w:rPr>
          <w:rFonts w:hint="eastAsia" w:ascii="宋体"/>
          <w:b/>
          <w:bCs/>
          <w:color w:val="auto"/>
          <w:szCs w:val="20"/>
          <w:highlight w:val="none"/>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ascii="宋体"/>
          <w:b/>
          <w:bCs/>
          <w:color w:val="auto"/>
          <w:szCs w:val="20"/>
          <w:highlight w:val="none"/>
        </w:rPr>
      </w:pPr>
      <w:r>
        <w:rPr>
          <w:rFonts w:hint="eastAsia" w:ascii="宋体"/>
          <w:b/>
          <w:bCs/>
          <w:color w:val="auto"/>
          <w:szCs w:val="20"/>
          <w:highlight w:val="none"/>
          <w:lang w:val="en-US" w:eastAsia="zh-CN"/>
        </w:rPr>
        <w:t>1.</w:t>
      </w:r>
      <w:r>
        <w:rPr>
          <w:rFonts w:hint="eastAsia" w:ascii="宋体"/>
          <w:b/>
          <w:bCs/>
          <w:color w:val="auto"/>
          <w:szCs w:val="20"/>
          <w:highlight w:val="none"/>
        </w:rPr>
        <w:t xml:space="preserve">投标人须对本项目为单位的服务进行整体响应，任何只对其中一部分内容进行的响应都被视为无效响应。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b/>
          <w:bCs/>
          <w:color w:val="auto"/>
          <w:szCs w:val="20"/>
          <w:highlight w:val="none"/>
        </w:rPr>
      </w:pPr>
      <w:r>
        <w:rPr>
          <w:rFonts w:hint="eastAsia" w:ascii="宋体"/>
          <w:b/>
          <w:bCs/>
          <w:color w:val="auto"/>
          <w:szCs w:val="20"/>
          <w:highlight w:val="none"/>
          <w:lang w:val="en-US" w:eastAsia="zh-CN"/>
        </w:rPr>
        <w:t>2.</w:t>
      </w:r>
      <w:r>
        <w:rPr>
          <w:rFonts w:hint="eastAsia" w:ascii="宋体"/>
          <w:b/>
          <w:bCs/>
          <w:color w:val="auto"/>
          <w:szCs w:val="20"/>
          <w:highlight w:val="none"/>
        </w:rPr>
        <w:t>用户需求书中打</w:t>
      </w:r>
      <w:r>
        <w:rPr>
          <w:rFonts w:ascii="宋体"/>
          <w:b/>
          <w:bCs/>
          <w:color w:val="auto"/>
          <w:szCs w:val="20"/>
          <w:highlight w:val="none"/>
        </w:rPr>
        <w:t>“</w:t>
      </w:r>
      <w:r>
        <w:rPr>
          <w:rFonts w:hint="eastAsia" w:ascii="宋体"/>
          <w:b/>
          <w:bCs/>
          <w:color w:val="auto"/>
          <w:szCs w:val="20"/>
          <w:highlight w:val="none"/>
        </w:rPr>
        <w:t>★</w:t>
      </w:r>
      <w:r>
        <w:rPr>
          <w:rFonts w:ascii="宋体"/>
          <w:b/>
          <w:bCs/>
          <w:color w:val="auto"/>
          <w:szCs w:val="20"/>
          <w:highlight w:val="none"/>
        </w:rPr>
        <w:t>”</w:t>
      </w:r>
      <w:r>
        <w:rPr>
          <w:rFonts w:hint="eastAsia" w:ascii="宋体"/>
          <w:b/>
          <w:bCs/>
          <w:color w:val="auto"/>
          <w:szCs w:val="20"/>
          <w:highlight w:val="none"/>
        </w:rPr>
        <w:t>号条款为实质性条款，投标人如有任何一条负偏离则导致投标无效。</w:t>
      </w:r>
    </w:p>
    <w:p>
      <w:pPr>
        <w:keepNext w:val="0"/>
        <w:keepLines w:val="0"/>
        <w:pageBreakBefore w:val="0"/>
        <w:widowControl w:val="0"/>
        <w:kinsoku/>
        <w:wordWrap/>
        <w:overflowPunct/>
        <w:topLinePunct w:val="0"/>
        <w:autoSpaceDE/>
        <w:autoSpaceDN/>
        <w:bidi w:val="0"/>
        <w:snapToGrid w:val="0"/>
        <w:spacing w:line="360" w:lineRule="auto"/>
        <w:ind w:firstLine="422" w:firstLineChars="200"/>
        <w:textAlignment w:val="auto"/>
        <w:rPr>
          <w:rFonts w:hint="default" w:ascii="宋体"/>
          <w:b/>
          <w:bCs/>
          <w:color w:val="auto"/>
          <w:szCs w:val="20"/>
          <w:highlight w:val="none"/>
          <w:lang w:val="en-US" w:eastAsia="zh-CN"/>
        </w:rPr>
      </w:pPr>
      <w:r>
        <w:rPr>
          <w:rFonts w:hint="eastAsia" w:ascii="宋体"/>
          <w:b/>
          <w:bCs/>
          <w:color w:val="auto"/>
          <w:szCs w:val="20"/>
          <w:highlight w:val="none"/>
          <w:lang w:val="en-US" w:eastAsia="zh-CN"/>
        </w:rPr>
        <w:t>3.打“▲”号条款为重要技术参数，若有部分“▲”条款未响应或不满足，将导致其响应性评审加重扣分，但不作为无效投标条款。</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default" w:ascii="宋体" w:eastAsia="宋体"/>
          <w:b/>
          <w:bCs/>
          <w:color w:val="auto"/>
          <w:szCs w:val="20"/>
          <w:highlight w:val="none"/>
          <w:lang w:val="en-US" w:eastAsia="zh-CN"/>
        </w:rPr>
      </w:pPr>
      <w:r>
        <w:rPr>
          <w:rFonts w:hint="eastAsia" w:ascii="宋体"/>
          <w:b/>
          <w:bCs/>
          <w:color w:val="auto"/>
          <w:szCs w:val="20"/>
          <w:highlight w:val="none"/>
          <w:lang w:val="en-US" w:eastAsia="zh-CN"/>
        </w:rPr>
        <w:t>一、服务要求：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r>
        <w:rPr>
          <w:rFonts w:hint="eastAsia" w:ascii="宋体"/>
          <w:b/>
          <w:bCs/>
          <w:color w:val="auto"/>
          <w:szCs w:val="20"/>
          <w:highlight w:val="none"/>
        </w:rPr>
        <w:t>第一部分：检测服务</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r>
        <w:rPr>
          <w:rFonts w:hint="eastAsia" w:ascii="宋体"/>
          <w:b/>
          <w:bCs/>
          <w:color w:val="auto"/>
          <w:szCs w:val="20"/>
          <w:highlight w:val="none"/>
        </w:rPr>
        <w:t>一、技术标准、规范</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依据本项目设计文件的要求，本次招标的检测技术服务须达到中华人民共和国、广东省、广州市、</w:t>
      </w:r>
      <w:r>
        <w:rPr>
          <w:rFonts w:hint="eastAsia" w:ascii="宋体"/>
          <w:b w:val="0"/>
          <w:bCs w:val="0"/>
          <w:color w:val="auto"/>
          <w:szCs w:val="20"/>
          <w:highlight w:val="none"/>
          <w:lang w:val="en-US" w:eastAsia="zh-CN"/>
        </w:rPr>
        <w:t>花都区</w:t>
      </w:r>
      <w:r>
        <w:rPr>
          <w:rFonts w:hint="eastAsia" w:ascii="宋体"/>
          <w:b w:val="0"/>
          <w:bCs w:val="0"/>
          <w:color w:val="auto"/>
          <w:szCs w:val="20"/>
          <w:highlight w:val="none"/>
        </w:rPr>
        <w:t>以及行业主管部门现行有效的检测技术标准、规范及规定的要求，检测适用的技术标准、规范等依据必须符合相关监督管理部门的规范标准。各文件或规范的要求、标准存在不同的，以较高要求或标准为准，但招标人另有要求的除外。具体包括但不限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1.《建筑工程施工质量验收统一标准》（GB50300-2013）；</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2.《建筑地基基础工程施工质量验收规范》（GB50202-2009）；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3</w:t>
      </w:r>
      <w:r>
        <w:rPr>
          <w:rFonts w:hint="eastAsia" w:ascii="宋体"/>
          <w:b w:val="0"/>
          <w:bCs w:val="0"/>
          <w:color w:val="auto"/>
          <w:szCs w:val="20"/>
          <w:highlight w:val="none"/>
        </w:rPr>
        <w:t>.《混凝土结构工程施工质量验收规范》（GB50204-2015）；</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4</w:t>
      </w:r>
      <w:r>
        <w:rPr>
          <w:rFonts w:hint="eastAsia" w:ascii="宋体"/>
          <w:b w:val="0"/>
          <w:bCs w:val="0"/>
          <w:color w:val="auto"/>
          <w:szCs w:val="20"/>
          <w:highlight w:val="none"/>
        </w:rPr>
        <w:t>.《砌体工程施工质量验收规范》（GB50203-2011）；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5</w:t>
      </w:r>
      <w:r>
        <w:rPr>
          <w:rFonts w:hint="eastAsia" w:ascii="宋体"/>
          <w:b w:val="0"/>
          <w:bCs w:val="0"/>
          <w:color w:val="auto"/>
          <w:szCs w:val="20"/>
          <w:highlight w:val="none"/>
        </w:rPr>
        <w:t>.《屋面工程质量验收规范》（GB50207-2012）；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6</w:t>
      </w:r>
      <w:r>
        <w:rPr>
          <w:rFonts w:hint="eastAsia" w:ascii="宋体"/>
          <w:b w:val="0"/>
          <w:bCs w:val="0"/>
          <w:color w:val="auto"/>
          <w:szCs w:val="20"/>
          <w:highlight w:val="none"/>
        </w:rPr>
        <w:t>.《给水排水管道工程施工及验收规范》（GB50268-2008）；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7</w:t>
      </w:r>
      <w:r>
        <w:rPr>
          <w:rFonts w:hint="eastAsia" w:ascii="宋体"/>
          <w:b w:val="0"/>
          <w:bCs w:val="0"/>
          <w:color w:val="auto"/>
          <w:szCs w:val="20"/>
          <w:highlight w:val="none"/>
        </w:rPr>
        <w:t>.《建筑地面工程施工质量验收规范》（GB50209-2002）；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8</w:t>
      </w:r>
      <w:r>
        <w:rPr>
          <w:rFonts w:hint="eastAsia" w:ascii="宋体"/>
          <w:b w:val="0"/>
          <w:bCs w:val="0"/>
          <w:color w:val="auto"/>
          <w:szCs w:val="20"/>
          <w:highlight w:val="none"/>
        </w:rPr>
        <w:t>.《建筑装饰装修工程质量验收规范》（GB50300-2018）；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9</w:t>
      </w:r>
      <w:r>
        <w:rPr>
          <w:rFonts w:hint="eastAsia" w:ascii="宋体"/>
          <w:b w:val="0"/>
          <w:bCs w:val="0"/>
          <w:color w:val="auto"/>
          <w:szCs w:val="20"/>
          <w:highlight w:val="none"/>
        </w:rPr>
        <w:t>.《广东省建筑节能工程施工质量验收规范》（DBJ15-65-2009）；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10</w:t>
      </w:r>
      <w:r>
        <w:rPr>
          <w:rFonts w:hint="eastAsia" w:ascii="宋体"/>
          <w:b w:val="0"/>
          <w:bCs w:val="0"/>
          <w:color w:val="auto"/>
          <w:szCs w:val="20"/>
          <w:highlight w:val="none"/>
        </w:rPr>
        <w:t>.《建筑节能工程施工质量验收规范》（GB50411）；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11</w:t>
      </w:r>
      <w:r>
        <w:rPr>
          <w:rFonts w:hint="eastAsia" w:ascii="宋体"/>
          <w:b w:val="0"/>
          <w:bCs w:val="0"/>
          <w:color w:val="auto"/>
          <w:szCs w:val="20"/>
          <w:highlight w:val="none"/>
        </w:rPr>
        <w:t>.《民用建筑工程室内环境污染控制规范》（GB50325-2010）；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2</w:t>
      </w:r>
      <w:r>
        <w:rPr>
          <w:rFonts w:hint="eastAsia" w:ascii="宋体"/>
          <w:b w:val="0"/>
          <w:bCs w:val="0"/>
          <w:color w:val="auto"/>
          <w:szCs w:val="20"/>
          <w:highlight w:val="none"/>
        </w:rPr>
        <w:t>.《建筑电气工程施工质量验收规范》（GB50303）；</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3</w:t>
      </w:r>
      <w:r>
        <w:rPr>
          <w:rFonts w:hint="eastAsia" w:ascii="宋体"/>
          <w:b w:val="0"/>
          <w:bCs w:val="0"/>
          <w:color w:val="auto"/>
          <w:szCs w:val="20"/>
          <w:highlight w:val="none"/>
        </w:rPr>
        <w:t>.《公共建筑节能检测标准》（JGJ/T177）；</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4</w:t>
      </w:r>
      <w:r>
        <w:rPr>
          <w:rFonts w:hint="eastAsia" w:ascii="宋体"/>
          <w:b w:val="0"/>
          <w:bCs w:val="0"/>
          <w:color w:val="auto"/>
          <w:szCs w:val="20"/>
          <w:highlight w:val="none"/>
        </w:rPr>
        <w:t>.《居住建筑节能检测标准》（JGJ/T132）；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5</w:t>
      </w:r>
      <w:r>
        <w:rPr>
          <w:rFonts w:hint="eastAsia" w:ascii="宋体"/>
          <w:b w:val="0"/>
          <w:bCs w:val="0"/>
          <w:color w:val="auto"/>
          <w:szCs w:val="20"/>
          <w:highlight w:val="none"/>
        </w:rPr>
        <w:t>.《照明测量方法》（GB/T5700）；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6</w:t>
      </w:r>
      <w:r>
        <w:rPr>
          <w:rFonts w:hint="eastAsia" w:ascii="宋体"/>
          <w:b w:val="0"/>
          <w:bCs w:val="0"/>
          <w:color w:val="auto"/>
          <w:szCs w:val="20"/>
          <w:highlight w:val="none"/>
        </w:rPr>
        <w:t>.《风机盘管机组》（GB/T19232）；</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7</w:t>
      </w:r>
      <w:r>
        <w:rPr>
          <w:rFonts w:hint="eastAsia" w:ascii="宋体"/>
          <w:b w:val="0"/>
          <w:bCs w:val="0"/>
          <w:color w:val="auto"/>
          <w:szCs w:val="20"/>
          <w:highlight w:val="none"/>
        </w:rPr>
        <w:t>.《建筑地基基础检测规范》（DBJ/T 15-60-2019）；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18</w:t>
      </w:r>
      <w:r>
        <w:rPr>
          <w:rFonts w:hint="eastAsia" w:ascii="宋体"/>
          <w:b w:val="0"/>
          <w:bCs w:val="0"/>
          <w:color w:val="auto"/>
          <w:szCs w:val="20"/>
          <w:highlight w:val="none"/>
        </w:rPr>
        <w:t>.《建筑桩基技术规范》（JGJ94-2008）；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19</w:t>
      </w:r>
      <w:r>
        <w:rPr>
          <w:rFonts w:hint="eastAsia" w:ascii="宋体"/>
          <w:b w:val="0"/>
          <w:bCs w:val="0"/>
          <w:color w:val="auto"/>
          <w:szCs w:val="20"/>
          <w:highlight w:val="none"/>
        </w:rPr>
        <w:t>.《建筑地基基础设计规范》（BG5007-2011）；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20</w:t>
      </w:r>
      <w:r>
        <w:rPr>
          <w:rFonts w:hint="eastAsia" w:ascii="宋体"/>
          <w:b w:val="0"/>
          <w:bCs w:val="0"/>
          <w:color w:val="auto"/>
          <w:szCs w:val="20"/>
          <w:highlight w:val="none"/>
        </w:rPr>
        <w:t>.《建筑基桩检测技术规范》（JGJ106-2014）；</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1</w:t>
      </w:r>
      <w:r>
        <w:rPr>
          <w:rFonts w:hint="eastAsia" w:ascii="宋体"/>
          <w:b w:val="0"/>
          <w:bCs w:val="0"/>
          <w:color w:val="auto"/>
          <w:szCs w:val="20"/>
          <w:highlight w:val="none"/>
        </w:rPr>
        <w:t>.《广州市住房和城乡建设局关于规范建筑工程地基基础检测工作的通知》（穗建规字〔2020〕30号）；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2</w:t>
      </w:r>
      <w:r>
        <w:rPr>
          <w:rFonts w:hint="eastAsia" w:ascii="宋体"/>
          <w:b w:val="0"/>
          <w:bCs w:val="0"/>
          <w:color w:val="auto"/>
          <w:szCs w:val="20"/>
          <w:highlight w:val="none"/>
        </w:rPr>
        <w:t>.《混凝土中钢筋检测技术标准》（JGJ/T152-2019）；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3</w:t>
      </w:r>
      <w:r>
        <w:rPr>
          <w:rFonts w:hint="eastAsia" w:ascii="宋体"/>
          <w:b w:val="0"/>
          <w:bCs w:val="0"/>
          <w:color w:val="auto"/>
          <w:szCs w:val="20"/>
          <w:highlight w:val="none"/>
        </w:rPr>
        <w:t>.《回弹法检测混凝土抗压强度技术规程》（JGJ/T23-2011）；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4</w:t>
      </w:r>
      <w:r>
        <w:rPr>
          <w:rFonts w:hint="eastAsia" w:ascii="宋体"/>
          <w:b w:val="0"/>
          <w:bCs w:val="0"/>
          <w:color w:val="auto"/>
          <w:szCs w:val="20"/>
          <w:highlight w:val="none"/>
        </w:rPr>
        <w:t>.《钻芯法检测混凝土强度技术规程》（JGJ/T384-2016）；</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5</w:t>
      </w:r>
      <w:r>
        <w:rPr>
          <w:rFonts w:hint="eastAsia" w:ascii="宋体"/>
          <w:b w:val="0"/>
          <w:bCs w:val="0"/>
          <w:color w:val="auto"/>
          <w:szCs w:val="20"/>
          <w:highlight w:val="none"/>
        </w:rPr>
        <w:t>.《高强混凝土强度检测技术规程》（JGJ/T294-2013）；</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6</w:t>
      </w:r>
      <w:r>
        <w:rPr>
          <w:rFonts w:hint="eastAsia" w:ascii="宋体"/>
          <w:b w:val="0"/>
          <w:bCs w:val="0"/>
          <w:color w:val="auto"/>
          <w:szCs w:val="20"/>
          <w:highlight w:val="none"/>
        </w:rPr>
        <w:t>.《混凝土物理力学性能试验方法标准》（GB/T50081-2019）；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w:t>
      </w:r>
      <w:r>
        <w:rPr>
          <w:rFonts w:hint="eastAsia" w:ascii="宋体"/>
          <w:b w:val="0"/>
          <w:bCs w:val="0"/>
          <w:color w:val="auto"/>
          <w:szCs w:val="20"/>
          <w:highlight w:val="none"/>
          <w:lang w:val="en-US" w:eastAsia="zh-CN"/>
        </w:rPr>
        <w:t>7</w:t>
      </w:r>
      <w:r>
        <w:rPr>
          <w:rFonts w:hint="eastAsia" w:ascii="宋体"/>
          <w:b w:val="0"/>
          <w:bCs w:val="0"/>
          <w:color w:val="auto"/>
          <w:szCs w:val="20"/>
          <w:highlight w:val="none"/>
        </w:rPr>
        <w:t>.《广州市住房和城乡建设局关于加强混凝土结构工程施工质量管理工作的通知》；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28</w:t>
      </w:r>
      <w:r>
        <w:rPr>
          <w:rFonts w:hint="eastAsia" w:ascii="宋体"/>
          <w:b w:val="0"/>
          <w:bCs w:val="0"/>
          <w:color w:val="auto"/>
          <w:szCs w:val="20"/>
          <w:highlight w:val="none"/>
        </w:rPr>
        <w:t>.《建筑结构检测技术标准》（GB50344-2004）；</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29</w:t>
      </w:r>
      <w:r>
        <w:rPr>
          <w:rFonts w:hint="eastAsia" w:ascii="宋体"/>
          <w:b w:val="0"/>
          <w:bCs w:val="0"/>
          <w:color w:val="auto"/>
          <w:szCs w:val="20"/>
          <w:highlight w:val="none"/>
        </w:rPr>
        <w:t>.《建筑电气工程施工质量验收规范》（GB50303-2015）；</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w:t>
      </w:r>
      <w:r>
        <w:rPr>
          <w:rFonts w:hint="eastAsia" w:ascii="宋体"/>
          <w:b w:val="0"/>
          <w:bCs w:val="0"/>
          <w:color w:val="auto"/>
          <w:szCs w:val="20"/>
          <w:highlight w:val="none"/>
          <w:lang w:val="en-US" w:eastAsia="zh-CN"/>
        </w:rPr>
        <w:t>0</w:t>
      </w:r>
      <w:r>
        <w:rPr>
          <w:rFonts w:hint="eastAsia" w:ascii="宋体"/>
          <w:b w:val="0"/>
          <w:bCs w:val="0"/>
          <w:color w:val="auto"/>
          <w:szCs w:val="20"/>
          <w:highlight w:val="none"/>
        </w:rPr>
        <w:t>.《建筑物防雷装置检测技术规范》（GB/T21431-2015）；</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w:t>
      </w:r>
      <w:r>
        <w:rPr>
          <w:rFonts w:hint="eastAsia" w:ascii="宋体"/>
          <w:b w:val="0"/>
          <w:bCs w:val="0"/>
          <w:color w:val="auto"/>
          <w:szCs w:val="20"/>
          <w:highlight w:val="none"/>
          <w:lang w:val="en-US" w:eastAsia="zh-CN"/>
        </w:rPr>
        <w:t>1</w:t>
      </w:r>
      <w:r>
        <w:rPr>
          <w:rFonts w:hint="eastAsia" w:ascii="宋体"/>
          <w:b w:val="0"/>
          <w:bCs w:val="0"/>
          <w:color w:val="auto"/>
          <w:szCs w:val="20"/>
          <w:highlight w:val="none"/>
        </w:rPr>
        <w:t>.《建筑物防雷工程施工与质量验收规范》（GB50601-2010）；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w:t>
      </w:r>
      <w:r>
        <w:rPr>
          <w:rFonts w:hint="eastAsia" w:ascii="宋体"/>
          <w:b w:val="0"/>
          <w:bCs w:val="0"/>
          <w:color w:val="auto"/>
          <w:szCs w:val="20"/>
          <w:highlight w:val="none"/>
          <w:lang w:val="en-US" w:eastAsia="zh-CN"/>
        </w:rPr>
        <w:t>2</w:t>
      </w:r>
      <w:r>
        <w:rPr>
          <w:rFonts w:hint="eastAsia" w:ascii="宋体"/>
          <w:b w:val="0"/>
          <w:bCs w:val="0"/>
          <w:color w:val="auto"/>
          <w:szCs w:val="20"/>
          <w:highlight w:val="none"/>
        </w:rPr>
        <w:t>.《建筑物防雷设计规范》（GB50057-2010）；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w:t>
      </w:r>
      <w:r>
        <w:rPr>
          <w:rFonts w:hint="eastAsia" w:ascii="宋体"/>
          <w:b w:val="0"/>
          <w:bCs w:val="0"/>
          <w:color w:val="auto"/>
          <w:szCs w:val="20"/>
          <w:highlight w:val="none"/>
          <w:lang w:val="en-US" w:eastAsia="zh-CN"/>
        </w:rPr>
        <w:t>3</w:t>
      </w:r>
      <w:r>
        <w:rPr>
          <w:rFonts w:hint="eastAsia" w:ascii="宋体"/>
          <w:b w:val="0"/>
          <w:bCs w:val="0"/>
          <w:color w:val="auto"/>
          <w:szCs w:val="20"/>
          <w:highlight w:val="none"/>
        </w:rPr>
        <w:t>.国家和广东省、广州市、</w:t>
      </w:r>
      <w:r>
        <w:rPr>
          <w:rFonts w:hint="eastAsia" w:ascii="宋体"/>
          <w:b w:val="0"/>
          <w:bCs w:val="0"/>
          <w:color w:val="auto"/>
          <w:szCs w:val="20"/>
          <w:highlight w:val="none"/>
          <w:lang w:val="en-US" w:eastAsia="zh-CN"/>
        </w:rPr>
        <w:t>花都</w:t>
      </w:r>
      <w:r>
        <w:rPr>
          <w:rFonts w:hint="eastAsia" w:ascii="宋体"/>
          <w:b w:val="0"/>
          <w:bCs w:val="0"/>
          <w:color w:val="auto"/>
          <w:szCs w:val="20"/>
          <w:highlight w:val="none"/>
        </w:rPr>
        <w:t>区其他有关检测的法律、法规、规章、规范及标准。实际检测依据以实施检测时国家及地方发布的最新规范、标准及规定为准。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r>
        <w:rPr>
          <w:rFonts w:hint="eastAsia" w:ascii="宋体"/>
          <w:b/>
          <w:bCs/>
          <w:color w:val="auto"/>
          <w:szCs w:val="20"/>
          <w:highlight w:val="none"/>
        </w:rPr>
        <w:t>二、检测服务项目质量控制要求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val="0"/>
          <w:bCs w:val="0"/>
          <w:color w:val="auto"/>
          <w:szCs w:val="20"/>
          <w:highlight w:val="none"/>
        </w:rPr>
      </w:pPr>
      <w:r>
        <w:rPr>
          <w:rFonts w:hint="eastAsia" w:ascii="宋体"/>
          <w:b/>
          <w:bCs/>
          <w:color w:val="auto"/>
          <w:szCs w:val="20"/>
          <w:highlight w:val="none"/>
        </w:rPr>
        <w:t>★</w:t>
      </w:r>
      <w:r>
        <w:rPr>
          <w:rFonts w:hint="eastAsia" w:ascii="宋体"/>
          <w:b w:val="0"/>
          <w:bCs w:val="0"/>
          <w:color w:val="auto"/>
          <w:szCs w:val="20"/>
          <w:highlight w:val="none"/>
        </w:rPr>
        <w:t>1、投标人应建立为完成本招标检测项目而实施质量管理所需要组织结构，明示组织结构框图，并用文字明示各级人员职责，并提供质量检测工作不受外界或领导机构影响的规定。并必须形成质量体系文件协调整个工作机构运转列出有效的、文体化的技术和管理程序，以便以最好的、最实际的方式来指导整个组织的工作人员、设备及信息的协调活动。质量体系文件应包括以下内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（1）有效完成本项目的质量方针，包括目标和承诺；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（2）投入本项目的组织结构框图；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（3）各检测人员工作岗位及其职责；</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（4）样品质量管理程序；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（5）检测工作申诉处理程序；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（6）保密和保护所有权程序。</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2、投标人必须对本招标项目投入足够的检测人员，这些检测人员必须经过必要的与其承担任务相适应的教育、培训，并有相应的技术知识和经验。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3、投标人应配备足够的检测仪器设备。检测仪器设备必须在检定/校准有效期内,并在检定/校准有效期满后应进行检定/校准。各计量检测仪器设备都必须严格按要求有明显的标志。</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4、投标人必须为配合施工和安全与质量监督编写各项实施的检测项目的《检测工作方案》。</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5、检测报告必须严格进行内部三级审核制度。</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（a）检测工作人员要熟悉并严格按照检测规程和方法，检测工作，同时做好数据记录；</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（b）各检测工作校核者应掌握检测规程和技术，检查数据与原始记录符合，事实符合，严格按照规范进行；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（c）报告审核者保证程序合法，报告有效。</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6、本项目实施期间，如果因本项目施工质量抽查监督及验收需要，按规范和经批准的检测方案，经招标人确认需增加检测项目，且投标人也具备相应资质，则投标人不得以任何原因拒绝为招标人提供检测，并按要求出具符合验收要求的检测报告。投标人检测资质不能涵盖的项目报招标人批准后，由投标人委托具有相应资质的第三方检测单位实施，投标人应对其委托的第三方检测单位出具的检查结果负责，并取得相应管理部门的确认。</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7、检测方案及工作量：在施工过程中，投标人依据施工图及相关检测验收规范，编制检测方案和工程量清单，以满足施工质量抽查监督、各单项竣工验收、竣工验收备案及区质检站等政府职能部门要求为前提，合理编制，不可擅自虚增检测项目和工作量，否则不予结算。投标人需报施工单位、监理单位、设计单位、勘察单位、代建单位（如有）和招标人审核确认后方可实施，检测项目及工作量按实结算。</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8、投标人最终提交的检测报告必须取得质监站、安监站及其他相关上级政府主管部门的认可并通过其备案审查。如投标人资质不能涵盖部分检测项目或质监站、安监站等相关主管部门对投标人的检测报告不予认可的，由投标人负责委托具备相应资质且符合质监站、安监站等相关主管部门认可的单位实施，且投标人必须对其委托的第三方检测单位最终提交的检测报告盖章确认并最终通过质监站、安监站等相关主管部门的备案审查，相关费用已全部包含在合同检测服务费总额中，招标人不再另行支付任何费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r>
        <w:rPr>
          <w:rFonts w:hint="eastAsia" w:ascii="宋体"/>
          <w:b/>
          <w:bCs/>
          <w:color w:val="auto"/>
          <w:szCs w:val="20"/>
          <w:highlight w:val="none"/>
        </w:rPr>
        <w:t>三、检测实施要点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1、本项目检测技术方案必须符合国家及地方现行有关技术规范或规定以及设计单位的技术要求。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2、本项目检测应严格按照设计要求到现场进行检测工作，检测单位须制定现场作业计划报监理单位审批。</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3、项目具备检测条件后应立即组织检测，现场作业完成后 10 个工作日内提供检测报告。</w:t>
      </w:r>
    </w:p>
    <w:p>
      <w:pPr>
        <w:keepNext w:val="0"/>
        <w:keepLines w:val="0"/>
        <w:pageBreakBefore w:val="0"/>
        <w:widowControl w:val="0"/>
        <w:numPr>
          <w:ilvl w:val="0"/>
          <w:numId w:val="0"/>
        </w:numPr>
        <w:kinsoku/>
        <w:wordWrap/>
        <w:overflowPunct/>
        <w:topLinePunct w:val="0"/>
        <w:autoSpaceDE/>
        <w:autoSpaceDN/>
        <w:bidi w:val="0"/>
        <w:snapToGrid w:val="0"/>
        <w:spacing w:line="360" w:lineRule="auto"/>
        <w:textAlignment w:val="auto"/>
        <w:rPr>
          <w:rFonts w:hint="eastAsia" w:ascii="宋体"/>
          <w:b/>
          <w:bCs/>
          <w:color w:val="auto"/>
          <w:szCs w:val="20"/>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r>
        <w:rPr>
          <w:rFonts w:hint="eastAsia" w:ascii="宋体"/>
          <w:b/>
          <w:bCs/>
          <w:color w:val="auto"/>
          <w:szCs w:val="20"/>
          <w:highlight w:val="none"/>
        </w:rPr>
        <w:t>第二部分：监测服务</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一、技术标准、规范</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依据本项目设计文件的要求，本次招标的监测技术服务须达到中华人民共和国、广东省、广州市、</w:t>
      </w:r>
      <w:r>
        <w:rPr>
          <w:rFonts w:hint="eastAsia" w:ascii="宋体"/>
          <w:b w:val="0"/>
          <w:bCs w:val="0"/>
          <w:color w:val="auto"/>
          <w:szCs w:val="20"/>
          <w:highlight w:val="none"/>
          <w:lang w:val="en-US" w:eastAsia="zh-CN"/>
        </w:rPr>
        <w:t>花都区</w:t>
      </w:r>
      <w:r>
        <w:rPr>
          <w:rFonts w:hint="eastAsia" w:ascii="宋体"/>
          <w:b w:val="0"/>
          <w:bCs w:val="0"/>
          <w:color w:val="auto"/>
          <w:szCs w:val="20"/>
          <w:highlight w:val="none"/>
        </w:rPr>
        <w:t>以及行业主管部门现行有效的技术标准、规范、规程和文件的各项质量要求，监测适用的技术标准、规范等依据必须符合相关监督管理部门的规范标准。各文件或规范的要求、标准存在不同的，以较高要求或标准为准，但招标人另有要求的除外。包括但不限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1.《建筑变形测量规范》（JGJ8-2016）；</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2.《建筑施工模板安全技术规范》（JGJ162-2008）；</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3.《民用建筑物可靠性鉴定标准》（GB50292-1999）；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4</w:t>
      </w:r>
      <w:r>
        <w:rPr>
          <w:rFonts w:hint="eastAsia" w:ascii="宋体"/>
          <w:b w:val="0"/>
          <w:bCs w:val="0"/>
          <w:color w:val="auto"/>
          <w:szCs w:val="20"/>
          <w:highlight w:val="none"/>
        </w:rPr>
        <w:t>.《建筑地基基础设计规范》（GB5007-2011）；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5</w:t>
      </w:r>
      <w:r>
        <w:rPr>
          <w:rFonts w:hint="eastAsia" w:ascii="宋体"/>
          <w:b w:val="0"/>
          <w:bCs w:val="0"/>
          <w:color w:val="auto"/>
          <w:szCs w:val="20"/>
          <w:highlight w:val="none"/>
        </w:rPr>
        <w:t>.《工程测量规范》（GB50026-2020）；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6</w:t>
      </w:r>
      <w:r>
        <w:rPr>
          <w:rFonts w:hint="eastAsia" w:ascii="宋体"/>
          <w:b w:val="0"/>
          <w:bCs w:val="0"/>
          <w:color w:val="auto"/>
          <w:szCs w:val="20"/>
          <w:highlight w:val="none"/>
        </w:rPr>
        <w:t>.《工程测量标准》（GB50026-2021）；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7</w:t>
      </w:r>
      <w:r>
        <w:rPr>
          <w:rFonts w:hint="eastAsia" w:ascii="宋体"/>
          <w:b w:val="0"/>
          <w:bCs w:val="0"/>
          <w:color w:val="auto"/>
          <w:szCs w:val="20"/>
          <w:highlight w:val="none"/>
        </w:rPr>
        <w:t>.《工程测量通用规范》（GB 55018-2021）；</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8</w:t>
      </w:r>
      <w:r>
        <w:rPr>
          <w:rFonts w:hint="eastAsia" w:ascii="宋体"/>
          <w:b w:val="0"/>
          <w:bCs w:val="0"/>
          <w:color w:val="auto"/>
          <w:szCs w:val="20"/>
          <w:highlight w:val="none"/>
        </w:rPr>
        <w:t>.《高大模板支撑系统实时安全监测技术规范》（DBJ/T15-197-2020）；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9</w:t>
      </w:r>
      <w:r>
        <w:rPr>
          <w:rFonts w:hint="eastAsia" w:ascii="宋体"/>
          <w:b w:val="0"/>
          <w:bCs w:val="0"/>
          <w:color w:val="auto"/>
          <w:szCs w:val="20"/>
          <w:highlight w:val="none"/>
        </w:rPr>
        <w:t>.住房和城乡建设部《危险性较大的分部分项工程安全管理办法》（建质[2009]87号）；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0</w:t>
      </w:r>
      <w:r>
        <w:rPr>
          <w:rFonts w:hint="eastAsia" w:ascii="宋体"/>
          <w:b w:val="0"/>
          <w:bCs w:val="0"/>
          <w:color w:val="auto"/>
          <w:szCs w:val="20"/>
          <w:highlight w:val="none"/>
        </w:rPr>
        <w:t>.《关于印发广东省住房和城乡建设厅关于&lt;危险性较大的分部分项工程安全管理办法&gt;的实施细则的通知》（粤建质[2011]13号）；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1</w:t>
      </w:r>
      <w:r>
        <w:rPr>
          <w:rFonts w:hint="eastAsia" w:ascii="宋体"/>
          <w:b w:val="0"/>
          <w:bCs w:val="0"/>
          <w:color w:val="auto"/>
          <w:szCs w:val="20"/>
          <w:highlight w:val="none"/>
        </w:rPr>
        <w:t>.《广州市城乡建设委员会关于进一步加强危险性较大的混凝土模板支撑工程和承重支撑体系安全检测工作的通知》（穗建质[2014]168号）；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2</w:t>
      </w:r>
      <w:r>
        <w:rPr>
          <w:rFonts w:hint="eastAsia" w:ascii="宋体"/>
          <w:b w:val="0"/>
          <w:bCs w:val="0"/>
          <w:color w:val="auto"/>
          <w:szCs w:val="20"/>
          <w:highlight w:val="none"/>
        </w:rPr>
        <w:t>.《广州市城乡建设委员会关于进一步加强建筑施工模板支撑系统安全管理工作的通知》（穗建质[2014]233号）；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3</w:t>
      </w:r>
      <w:r>
        <w:rPr>
          <w:rFonts w:hint="eastAsia" w:ascii="宋体"/>
          <w:b w:val="0"/>
          <w:bCs w:val="0"/>
          <w:color w:val="auto"/>
          <w:szCs w:val="20"/>
          <w:highlight w:val="none"/>
        </w:rPr>
        <w:t>.《广州市城乡建设委员会关于进一步加强建设工程安全生产信息化管理的通知》（穗建质[2015]140号）；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w:t>
      </w:r>
      <w:r>
        <w:rPr>
          <w:rFonts w:hint="eastAsia" w:ascii="宋体"/>
          <w:b w:val="0"/>
          <w:bCs w:val="0"/>
          <w:color w:val="auto"/>
          <w:szCs w:val="20"/>
          <w:highlight w:val="none"/>
          <w:lang w:val="en-US" w:eastAsia="zh-CN"/>
        </w:rPr>
        <w:t>4</w:t>
      </w:r>
      <w:r>
        <w:rPr>
          <w:rFonts w:hint="eastAsia" w:ascii="宋体"/>
          <w:b w:val="0"/>
          <w:bCs w:val="0"/>
          <w:color w:val="auto"/>
          <w:szCs w:val="20"/>
          <w:highlight w:val="none"/>
        </w:rPr>
        <w:t>.《广州市住房和城乡建设委员会关于推进全市超过一定规模危险性较大的混凝土模版支撑工程和承重支撑体系自动化安全监测工作的通知》（穗建质[2017]1006号）；</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15</w:t>
      </w:r>
      <w:r>
        <w:rPr>
          <w:rFonts w:hint="eastAsia" w:ascii="宋体"/>
          <w:b w:val="0"/>
          <w:bCs w:val="0"/>
          <w:color w:val="auto"/>
          <w:szCs w:val="20"/>
          <w:highlight w:val="none"/>
        </w:rPr>
        <w:t>.《建设工程质量管理条例文件汇编》（广州地区建设工程质量安全监督站，广州市市政工程安全质量监督站编制）；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16</w:t>
      </w:r>
      <w:r>
        <w:rPr>
          <w:rFonts w:hint="eastAsia" w:ascii="宋体"/>
          <w:b w:val="0"/>
          <w:bCs w:val="0"/>
          <w:color w:val="auto"/>
          <w:szCs w:val="20"/>
          <w:highlight w:val="none"/>
        </w:rPr>
        <w:t>.《国家一、二等水准测量规范》（GB/T 12897-2006）；</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17</w:t>
      </w:r>
      <w:r>
        <w:rPr>
          <w:rFonts w:hint="eastAsia" w:ascii="宋体"/>
          <w:b w:val="0"/>
          <w:bCs w:val="0"/>
          <w:color w:val="auto"/>
          <w:szCs w:val="20"/>
          <w:highlight w:val="none"/>
        </w:rPr>
        <w:t>.《国家三、四等水准测量规范》（GB/T12898-2009）；</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18</w:t>
      </w:r>
      <w:r>
        <w:rPr>
          <w:rFonts w:hint="eastAsia" w:ascii="宋体"/>
          <w:b w:val="0"/>
          <w:bCs w:val="0"/>
          <w:color w:val="auto"/>
          <w:szCs w:val="20"/>
          <w:highlight w:val="none"/>
        </w:rPr>
        <w:t>.国家其他监测规范、强制性标准；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19</w:t>
      </w:r>
      <w:r>
        <w:rPr>
          <w:rFonts w:hint="eastAsia" w:ascii="宋体"/>
          <w:b w:val="0"/>
          <w:bCs w:val="0"/>
          <w:color w:val="auto"/>
          <w:szCs w:val="20"/>
          <w:highlight w:val="none"/>
        </w:rPr>
        <w:t>.监测服务方案与相关设计文件要求；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lang w:val="en-US" w:eastAsia="zh-CN"/>
        </w:rPr>
        <w:t>20</w:t>
      </w:r>
      <w:r>
        <w:rPr>
          <w:rFonts w:hint="eastAsia" w:ascii="宋体"/>
          <w:b w:val="0"/>
          <w:bCs w:val="0"/>
          <w:color w:val="auto"/>
          <w:szCs w:val="20"/>
          <w:highlight w:val="none"/>
        </w:rPr>
        <w:t>.国家和广东省、广州市、</w:t>
      </w:r>
      <w:r>
        <w:rPr>
          <w:rFonts w:hint="eastAsia" w:ascii="宋体"/>
          <w:b w:val="0"/>
          <w:bCs w:val="0"/>
          <w:color w:val="auto"/>
          <w:szCs w:val="20"/>
          <w:highlight w:val="none"/>
          <w:lang w:val="en-US" w:eastAsia="zh-CN"/>
        </w:rPr>
        <w:t>花都区</w:t>
      </w:r>
      <w:r>
        <w:rPr>
          <w:rFonts w:hint="eastAsia" w:ascii="宋体"/>
          <w:b w:val="0"/>
          <w:bCs w:val="0"/>
          <w:color w:val="auto"/>
          <w:szCs w:val="20"/>
          <w:highlight w:val="none"/>
        </w:rPr>
        <w:t>其他有关监测的法律、法规、规章、规范及标准。实际监测依据以实施检测时国家及地方发布的最新规范、标准及规定为准。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二、监测频率和要求（以招标文件、设计图纸及相关资料为准）</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 xml:space="preserve">1.须编制具体监测方案，监测频率满足设计以及相关规范要求。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2.当变形超过有关标准或场地条件变化较大时，应加密监测，并通报监理人及招标人。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3.当有危险事故征兆时，应进行连续监测，并向监理人及招标人作书面汇报。</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4.投标人应严格按照设计要求及监理人要求，及时到现场进行工作。</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5.监测工作应有完整的原始记录表、数据报表、图形和曲线等资料。</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6.工程出现质量隐患时，必须立即上报监理人及招标人，因投标人未及时上报情况，而造成安全事故的，中标投标人需负全部责任，对招标人造成损失的，应赔偿该部分费用。</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7.发生险情时，投标人收到监理人或招标人通知后的2个小时内必须派专人赶至施工现场。</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8.监测设备要求：用于完成本项目监测的仪器、设备和材料由投标人自行运输，存管。仪器、设备和材料应有产品出厂合格证，检定/校准证书，同时符合相关技术标准和检定要求。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 xml:space="preserve">9.投标人在进场监测前，需根据经招标人确认的监测图纸及现场实际情况编制服务方案，并报项目所在行政区域的相关建设行政主管部门和监督部门等，经审批同意后组织实施。监测方案必须满足设计文件以及国家、广东省及广州市监督部门现行技术规范的要求。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 xml:space="preserve">10.监测成果提交：监测成果的提交分为电子数据和纸质成果，电子数据在监测完成后以电子邮件的形式发送，需确保不因传输报送工作影响本工程项目的建设进度和竣工验收。监测成果分为日报表、阶段报表（周、月报）和完成时提供的监测总报告。每次监测完成时提供监测日报表，报表主要内容组成如下： </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（1）监测项目测点布置示意图；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（2）监测项目监测数据的分析与说明；</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（3）监测项目监测值数据变化表及变化曲线。</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11.本技术要求未说明事项，均按现行国家及地方的相关法律、规范和规定、行业标准等实施。</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12.根据《广州市城乡建设委员会关于启用地下工程及深基坑安全监测信息管理系统的通知》、《 广州市住房和城乡建设委员会关于启用高大模板实时监测管理平台的通知》要求，投标人需配合做好信息化管理工作。投标人需按广州市住房和城乡建设局的规定，开通基坑及高大模板自动化监测数据管理系统账号，配备能实时上传监测数据的相关仪器设备，并具备将本项目相关监测数据实时上传至广州市地下工程和深基坑安全监测信息管理平台、广州市高大模板实时监测管理平台的能力及经验。</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三、现场作业计划</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投标人应在开展工作前向监理人报备作业计划，计划应包括作业内容及作业时间；完成后2个工作日内出具监测简报一式三份；全部监测结束后，5个工作日内完成监测总结报告，并向招标人提交一式捌份成果报告。</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现场监测要求：投标人应严格按照设计要求及报备的作业计划执行监测工作，并按照工程建设需要，配合招标人、监理人及时到赴现场进行监测工作。</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四、其它要求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1、投标人根据工程实际情况，完善深化监测方案，并报相关部门审批，按审批通过的方案实施监测工作。</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b w:val="0"/>
          <w:bCs w:val="0"/>
          <w:color w:val="auto"/>
          <w:szCs w:val="20"/>
          <w:highlight w:val="none"/>
        </w:rPr>
      </w:pPr>
      <w:r>
        <w:rPr>
          <w:rFonts w:hint="eastAsia" w:ascii="宋体"/>
          <w:b w:val="0"/>
          <w:bCs w:val="0"/>
          <w:color w:val="auto"/>
          <w:szCs w:val="20"/>
          <w:highlight w:val="none"/>
        </w:rPr>
        <w:t>2、工程量清单的具体监测范围及频率以相关主管部门规定及现场、相关规范要求为准。监测次数以招标文件的监测次数为上限。</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b/>
          <w:bCs/>
          <w:color w:val="auto"/>
          <w:szCs w:val="20"/>
          <w:highlight w:val="none"/>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ascii="宋体" w:hAnsi="宋体" w:eastAsia="宋体" w:cs="宋体"/>
          <w:b/>
          <w:bCs w:val="0"/>
          <w:color w:val="auto"/>
          <w:szCs w:val="20"/>
          <w:highlight w:val="none"/>
          <w:lang w:val="en-US" w:eastAsia="zh-CN"/>
        </w:rPr>
      </w:pPr>
      <w:r>
        <w:rPr>
          <w:rFonts w:hint="eastAsia" w:ascii="宋体" w:hAnsi="宋体" w:cs="宋体"/>
          <w:b/>
          <w:bCs w:val="0"/>
          <w:color w:val="auto"/>
          <w:szCs w:val="20"/>
          <w:highlight w:val="none"/>
          <w:lang w:val="en-US" w:eastAsia="zh-CN"/>
        </w:rPr>
        <w:t>五</w:t>
      </w:r>
      <w:r>
        <w:rPr>
          <w:rFonts w:hint="eastAsia" w:ascii="宋体" w:hAnsi="宋体" w:eastAsia="宋体" w:cs="宋体"/>
          <w:b/>
          <w:bCs w:val="0"/>
          <w:color w:val="auto"/>
          <w:szCs w:val="20"/>
          <w:highlight w:val="none"/>
          <w:lang w:val="en-US" w:eastAsia="zh-CN"/>
        </w:rPr>
        <w:t>、报价要求：</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cs="宋体"/>
          <w:bCs/>
          <w:color w:val="auto"/>
          <w:szCs w:val="20"/>
          <w:highlight w:val="none"/>
          <w:lang w:val="en-US" w:eastAsia="zh-CN"/>
        </w:rPr>
        <w:t>4</w:t>
      </w:r>
      <w:r>
        <w:rPr>
          <w:rFonts w:hint="eastAsia" w:ascii="宋体" w:hAnsi="宋体" w:eastAsia="宋体" w:cs="宋体"/>
          <w:bCs/>
          <w:color w:val="auto"/>
          <w:szCs w:val="20"/>
          <w:highlight w:val="none"/>
          <w:lang w:val="en-US" w:eastAsia="zh-CN"/>
        </w:rPr>
        <w:t>.1投标人应根据企业自身实力按照采购需求规定的货物技术参数等相关要求报出统一的投标单价下浮率b%。下浮率b值为固定值，不得为区间值，b值精确到小数点后两位，b值范围：0%≤b%≤100%，即投标人报价按单价下浮0%-100%。按单价的下浮率进行结算，即实际支付的</w:t>
      </w:r>
      <w:r>
        <w:rPr>
          <w:rFonts w:hint="eastAsia" w:ascii="宋体" w:hAnsi="宋体" w:cs="宋体"/>
          <w:bCs/>
          <w:color w:val="auto"/>
          <w:szCs w:val="20"/>
          <w:highlight w:val="none"/>
          <w:lang w:val="en-US" w:eastAsia="zh-CN"/>
        </w:rPr>
        <w:t>结算价</w:t>
      </w:r>
      <w:r>
        <w:rPr>
          <w:rFonts w:hint="eastAsia" w:ascii="宋体" w:hAnsi="宋体" w:eastAsia="宋体" w:cs="宋体"/>
          <w:bCs/>
          <w:color w:val="auto"/>
          <w:szCs w:val="20"/>
          <w:highlight w:val="none"/>
          <w:lang w:val="en-US" w:eastAsia="zh-CN"/>
        </w:rPr>
        <w:t>=</w:t>
      </w:r>
      <w:r>
        <w:rPr>
          <w:rFonts w:hint="eastAsia" w:ascii="宋体" w:hAnsi="宋体" w:eastAsia="宋体" w:cs="宋体"/>
          <w:bCs/>
          <w:color w:val="auto"/>
          <w:szCs w:val="20"/>
          <w:highlight w:val="none"/>
          <w:u w:val="none"/>
          <w:lang w:val="en-US" w:eastAsia="zh-CN"/>
        </w:rPr>
        <w:t>实际</w:t>
      </w:r>
      <w:r>
        <w:rPr>
          <w:rFonts w:hint="eastAsia" w:ascii="宋体" w:hAnsi="宋体" w:cs="宋体"/>
          <w:bCs/>
          <w:color w:val="auto"/>
          <w:szCs w:val="20"/>
          <w:highlight w:val="none"/>
          <w:u w:val="none"/>
          <w:lang w:val="en-US" w:eastAsia="zh-CN"/>
        </w:rPr>
        <w:t>工程</w:t>
      </w:r>
      <w:r>
        <w:rPr>
          <w:rFonts w:hint="eastAsia" w:ascii="宋体" w:hAnsi="宋体" w:eastAsia="宋体" w:cs="宋体"/>
          <w:bCs/>
          <w:color w:val="auto"/>
          <w:szCs w:val="20"/>
          <w:highlight w:val="none"/>
          <w:u w:val="none"/>
          <w:lang w:val="en-US" w:eastAsia="zh-CN"/>
        </w:rPr>
        <w:t>量</w:t>
      </w:r>
      <w:r>
        <w:rPr>
          <w:rFonts w:hint="eastAsia" w:ascii="宋体" w:hAnsi="宋体" w:eastAsia="宋体" w:cs="宋体"/>
          <w:bCs/>
          <w:color w:val="auto"/>
          <w:szCs w:val="20"/>
          <w:highlight w:val="none"/>
          <w:lang w:val="en-US" w:eastAsia="zh-CN"/>
        </w:rPr>
        <w:t>×（最高单价限价×（1-b%））。</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color w:val="auto"/>
          <w:szCs w:val="20"/>
          <w:highlight w:val="none"/>
          <w:lang w:val="en-US" w:eastAsia="zh-CN"/>
        </w:rPr>
      </w:pPr>
      <w:r>
        <w:rPr>
          <w:rFonts w:hint="eastAsia" w:ascii="宋体" w:hAnsi="宋体" w:cs="宋体"/>
          <w:bCs/>
          <w:color w:val="auto"/>
          <w:szCs w:val="20"/>
          <w:highlight w:val="none"/>
          <w:lang w:val="en-US" w:eastAsia="zh-CN"/>
        </w:rPr>
        <w:t>4</w:t>
      </w:r>
      <w:r>
        <w:rPr>
          <w:rFonts w:hint="eastAsia" w:ascii="宋体" w:hAnsi="宋体" w:eastAsia="宋体" w:cs="宋体"/>
          <w:bCs/>
          <w:color w:val="auto"/>
          <w:szCs w:val="20"/>
          <w:highlight w:val="none"/>
          <w:lang w:val="en-US" w:eastAsia="zh-CN"/>
        </w:rPr>
        <w:t>.2投标人所投价格包括但不限于：设备费、人工费、材料费、技术服务费、各项措施费(包括但不限于安全文明施工、临水临电安装及使用、机械设备进出场、工作面清理及整理、检测配载、工作搭架、工作棚、焊接等相关费用)、设备进退场费、检(监)测费、报告编写费、资料整理费、报告打印及装订费、工程验收配合费水电费、配合协调费、工程保险费、税金、保险费、风险费、管理费、规费、利润等全部费用。</w:t>
      </w:r>
    </w:p>
    <w:p>
      <w:pPr>
        <w:pStyle w:val="6"/>
        <w:rPr>
          <w:rFonts w:hint="default"/>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2" w:firstLineChars="200"/>
        <w:textAlignment w:val="auto"/>
        <w:rPr>
          <w:rFonts w:hint="eastAsia"/>
          <w:color w:val="auto"/>
          <w:lang w:val="en-US" w:eastAsia="zh-CN"/>
        </w:rPr>
      </w:pPr>
      <w:r>
        <w:rPr>
          <w:rFonts w:hint="eastAsia" w:ascii="宋体" w:hAnsi="宋体" w:cs="宋体"/>
          <w:b/>
          <w:bCs w:val="0"/>
          <w:color w:val="auto"/>
          <w:szCs w:val="20"/>
          <w:highlight w:val="none"/>
          <w:lang w:val="en-US" w:eastAsia="zh-CN"/>
        </w:rPr>
        <w:t>六</w:t>
      </w:r>
      <w:r>
        <w:rPr>
          <w:rFonts w:hint="eastAsia" w:ascii="宋体" w:hAnsi="宋体" w:eastAsia="宋体" w:cs="宋体"/>
          <w:b/>
          <w:bCs w:val="0"/>
          <w:color w:val="auto"/>
          <w:szCs w:val="20"/>
          <w:highlight w:val="none"/>
          <w:lang w:val="en-US" w:eastAsia="zh-CN"/>
        </w:rPr>
        <w:t>、结算方式</w:t>
      </w:r>
      <w:r>
        <w:rPr>
          <w:rFonts w:hint="eastAsia" w:ascii="宋体" w:hAnsi="宋体" w:cs="宋体"/>
          <w:b/>
          <w:bCs w:val="0"/>
          <w:color w:val="auto"/>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1.付款方式：本项目的款项均以人民币方式支付。</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2.本工程无预付款。</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3.进度款按月支付。按照经监理及甲方审核确定的完成工作内容计算产值，根据乙方提供的初步检测报告，经项目的监理单位及甲方审核确定后10个工作日内支付当月相应检测费用的80%，累计支付进度款不超过合同暂定金额的80%。</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 w:val="0"/>
          <w:bCs/>
          <w:color w:val="auto"/>
          <w:szCs w:val="20"/>
          <w:highlight w:val="none"/>
          <w:lang w:val="en-US" w:eastAsia="zh-CN"/>
        </w:rPr>
      </w:pPr>
      <w:r>
        <w:rPr>
          <w:rFonts w:hint="eastAsia" w:ascii="宋体" w:hAnsi="宋体" w:eastAsia="宋体" w:cs="宋体"/>
          <w:b w:val="0"/>
          <w:bCs/>
          <w:color w:val="auto"/>
          <w:szCs w:val="20"/>
          <w:highlight w:val="none"/>
          <w:lang w:val="en-US" w:eastAsia="zh-CN"/>
        </w:rPr>
        <w:t>4.乙方按照合同要求、相关规范要求和所在区质监站、安监站的监督交底文件要求完成所检测、监测工作，并按甲方要求提交全部检测</w:t>
      </w:r>
      <w:r>
        <w:rPr>
          <w:rFonts w:hint="eastAsia" w:ascii="宋体" w:hAnsi="宋体" w:cs="宋体"/>
          <w:b w:val="0"/>
          <w:bCs/>
          <w:color w:val="auto"/>
          <w:szCs w:val="20"/>
          <w:highlight w:val="none"/>
          <w:lang w:val="en-US" w:eastAsia="zh-CN"/>
        </w:rPr>
        <w:t>、监测</w:t>
      </w:r>
      <w:r>
        <w:rPr>
          <w:rFonts w:hint="eastAsia" w:ascii="宋体" w:hAnsi="宋体" w:eastAsia="宋体" w:cs="宋体"/>
          <w:b w:val="0"/>
          <w:bCs/>
          <w:color w:val="auto"/>
          <w:szCs w:val="20"/>
          <w:highlight w:val="none"/>
          <w:lang w:val="en-US" w:eastAsia="zh-CN"/>
        </w:rPr>
        <w:t>成果报告和合格的申请资料后，双方根据实际完成工程量和甲方有关结算计量及管理的规定流程办理结算，结算完成后10个工作日内甲方支付至结算金额的100％。</w:t>
      </w:r>
    </w:p>
    <w:p>
      <w:pPr>
        <w:pStyle w:val="47"/>
        <w:rPr>
          <w:rFonts w:hint="eastAsia" w:ascii="宋体" w:hAnsi="宋体" w:eastAsia="宋体" w:cs="宋体"/>
          <w:b w:val="0"/>
          <w:bCs/>
          <w:color w:val="auto"/>
          <w:kern w:val="2"/>
          <w:sz w:val="21"/>
          <w:szCs w:val="20"/>
          <w:highlight w:val="none"/>
          <w:lang w:val="en-US" w:eastAsia="zh-CN" w:bidi="ar-SA"/>
        </w:rPr>
      </w:pPr>
      <w:r>
        <w:rPr>
          <w:rFonts w:hint="eastAsia" w:ascii="宋体" w:hAnsi="宋体" w:eastAsia="宋体" w:cs="宋体"/>
          <w:b w:val="0"/>
          <w:bCs/>
          <w:color w:val="auto"/>
          <w:kern w:val="2"/>
          <w:sz w:val="21"/>
          <w:szCs w:val="20"/>
          <w:highlight w:val="none"/>
          <w:lang w:val="en-US" w:eastAsia="zh-CN" w:bidi="ar-SA"/>
        </w:rPr>
        <w:t xml:space="preserve">   5.具体按合同要求。</w:t>
      </w:r>
    </w:p>
    <w:p>
      <w:pPr>
        <w:rPr>
          <w:rFonts w:hint="eastAsia" w:ascii="宋体" w:hAnsi="宋体" w:eastAsia="宋体" w:cs="宋体"/>
          <w:b w:val="0"/>
          <w:bCs/>
          <w:color w:val="auto"/>
          <w:kern w:val="2"/>
          <w:sz w:val="21"/>
          <w:szCs w:val="20"/>
          <w:highlight w:val="none"/>
          <w:lang w:val="en-US" w:eastAsia="zh-CN" w:bidi="ar-SA"/>
        </w:rPr>
      </w:pPr>
    </w:p>
    <w:p>
      <w:pPr>
        <w:pStyle w:val="2"/>
        <w:numPr>
          <w:ilvl w:val="0"/>
          <w:numId w:val="9"/>
        </w:numPr>
        <w:rPr>
          <w:rFonts w:hint="default" w:ascii="宋体" w:hAnsi="宋体" w:eastAsia="宋体" w:cs="宋体"/>
          <w:b w:val="0"/>
          <w:bCs/>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其他要求</w:t>
      </w:r>
      <w:r>
        <w:rPr>
          <w:rFonts w:hint="eastAsia" w:ascii="宋体" w:hAnsi="宋体" w:eastAsia="宋体" w:cs="宋体"/>
          <w:b w:val="0"/>
          <w:bCs/>
          <w:color w:val="auto"/>
          <w:kern w:val="2"/>
          <w:sz w:val="21"/>
          <w:szCs w:val="20"/>
          <w:highlight w:val="none"/>
          <w:lang w:val="en-US" w:eastAsia="zh-CN" w:bidi="ar-SA"/>
        </w:rPr>
        <w:t>：中标单位签订合同前需提供具体施工方案，确认整份合同的中标金额（具体以结算工程量为准，如钢筋检测按批次，也需要预估）。</w:t>
      </w:r>
    </w:p>
    <w:p>
      <w:pPr>
        <w:numPr>
          <w:ilvl w:val="0"/>
          <w:numId w:val="0"/>
        </w:numPr>
        <w:rPr>
          <w:rFonts w:hint="default"/>
          <w:color w:val="auto"/>
          <w:lang w:val="en-US" w:eastAsia="zh-CN"/>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pStyle w:val="12"/>
        <w:rPr>
          <w:color w:val="auto"/>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rPr>
      </w:pPr>
    </w:p>
    <w:p>
      <w:pPr>
        <w:numPr>
          <w:ilvl w:val="0"/>
          <w:numId w:val="10"/>
        </w:numPr>
        <w:spacing w:before="156" w:beforeLines="50" w:after="156" w:afterLines="50" w:line="360" w:lineRule="auto"/>
        <w:jc w:val="center"/>
        <w:outlineLvl w:val="0"/>
        <w:rPr>
          <w:rFonts w:hint="eastAsia"/>
          <w:b/>
          <w:bCs/>
          <w:color w:val="auto"/>
          <w:sz w:val="28"/>
          <w:szCs w:val="28"/>
          <w:highlight w:val="none"/>
        </w:rPr>
      </w:pPr>
      <w:bookmarkStart w:id="14" w:name="_Toc12818"/>
      <w:r>
        <w:rPr>
          <w:rFonts w:hint="eastAsia"/>
          <w:b/>
          <w:bCs/>
          <w:color w:val="auto"/>
          <w:sz w:val="28"/>
          <w:szCs w:val="28"/>
          <w:highlight w:val="none"/>
        </w:rPr>
        <w:t>合同文本</w:t>
      </w:r>
      <w:bookmarkEnd w:id="14"/>
      <w:r>
        <w:rPr>
          <w:rFonts w:hint="eastAsia"/>
          <w:b/>
          <w:bCs/>
          <w:color w:val="auto"/>
          <w:sz w:val="28"/>
          <w:szCs w:val="28"/>
          <w:highlight w:val="none"/>
          <w:lang w:eastAsia="zh-CN"/>
        </w:rPr>
        <w:t>（</w:t>
      </w:r>
      <w:r>
        <w:rPr>
          <w:rFonts w:hint="eastAsia"/>
          <w:b/>
          <w:bCs/>
          <w:color w:val="auto"/>
          <w:sz w:val="28"/>
          <w:szCs w:val="28"/>
          <w:highlight w:val="none"/>
          <w:lang w:val="en-US" w:eastAsia="zh-CN"/>
        </w:rPr>
        <w:t>另册</w:t>
      </w:r>
      <w:r>
        <w:rPr>
          <w:rFonts w:hint="eastAsia"/>
          <w:b/>
          <w:bCs/>
          <w:color w:val="auto"/>
          <w:sz w:val="28"/>
          <w:szCs w:val="28"/>
          <w:highlight w:val="none"/>
          <w:lang w:eastAsia="zh-CN"/>
        </w:rPr>
        <w:t>）</w:t>
      </w:r>
    </w:p>
    <w:p>
      <w:pPr>
        <w:pStyle w:val="43"/>
        <w:spacing w:before="0" w:after="0" w:line="360" w:lineRule="auto"/>
        <w:ind w:left="0" w:right="0"/>
        <w:jc w:val="both"/>
        <w:rPr>
          <w:color w:val="auto"/>
          <w:highlight w:val="none"/>
        </w:rPr>
      </w:pPr>
      <w:r>
        <w:rPr>
          <w:color w:val="auto"/>
          <w:highlight w:val="none"/>
        </w:rPr>
        <w:t xml:space="preserve">  </w:t>
      </w:r>
    </w:p>
    <w:p>
      <w:pPr>
        <w:rPr>
          <w:color w:val="auto"/>
          <w:highlight w:val="none"/>
        </w:rPr>
      </w:pPr>
    </w:p>
    <w:p>
      <w:pPr>
        <w:rPr>
          <w:rFonts w:hint="eastAsia"/>
          <w:color w:val="auto"/>
          <w:highlight w:val="none"/>
          <w:lang w:eastAsia="zh-CN"/>
        </w:rPr>
      </w:pPr>
    </w:p>
    <w:p>
      <w:pPr>
        <w:pStyle w:val="6"/>
        <w:rPr>
          <w:rFonts w:hint="eastAsia"/>
          <w:color w:val="auto"/>
          <w:highlight w:val="none"/>
          <w:lang w:eastAsia="zh-CN"/>
        </w:rPr>
      </w:pPr>
    </w:p>
    <w:p>
      <w:pPr>
        <w:spacing w:before="120" w:beforeLines="50" w:after="120" w:afterLines="50" w:line="360" w:lineRule="auto"/>
        <w:jc w:val="both"/>
        <w:outlineLvl w:val="0"/>
        <w:rPr>
          <w:rFonts w:hint="eastAsia"/>
          <w:b/>
          <w:bCs/>
          <w:color w:val="auto"/>
          <w:sz w:val="28"/>
          <w:szCs w:val="28"/>
          <w:highlight w:val="none"/>
        </w:rPr>
      </w:pPr>
      <w:bookmarkStart w:id="15" w:name="_Toc435115056"/>
      <w:bookmarkStart w:id="16" w:name="_Toc435514851"/>
      <w:bookmarkStart w:id="17" w:name="_Toc6908"/>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b/>
          <w:bCs/>
          <w:color w:val="auto"/>
          <w:sz w:val="28"/>
          <w:szCs w:val="28"/>
          <w:highlight w:val="none"/>
        </w:rPr>
      </w:pPr>
    </w:p>
    <w:p>
      <w:pPr>
        <w:rPr>
          <w:rFonts w:hint="eastAsia"/>
          <w:b/>
          <w:bCs/>
          <w:color w:val="auto"/>
          <w:sz w:val="28"/>
          <w:szCs w:val="28"/>
          <w:highlight w:val="none"/>
        </w:rPr>
      </w:pPr>
    </w:p>
    <w:p>
      <w:pPr>
        <w:pStyle w:val="6"/>
        <w:rPr>
          <w:rFonts w:hint="eastAsia"/>
          <w:color w:val="auto"/>
          <w:highlight w:val="none"/>
        </w:rPr>
      </w:pPr>
    </w:p>
    <w:p>
      <w:pPr>
        <w:rPr>
          <w:rFonts w:hint="eastAsia"/>
          <w:color w:val="auto"/>
          <w:highlight w:val="none"/>
        </w:rPr>
      </w:pPr>
    </w:p>
    <w:p>
      <w:pPr>
        <w:pStyle w:val="12"/>
        <w:rPr>
          <w:rFonts w:hint="eastAsia"/>
          <w:color w:val="auto"/>
        </w:rPr>
      </w:pPr>
    </w:p>
    <w:p>
      <w:pPr>
        <w:rPr>
          <w:rFonts w:hint="eastAsia"/>
          <w:color w:val="auto"/>
          <w:highlight w:val="none"/>
        </w:rPr>
      </w:pPr>
    </w:p>
    <w:p>
      <w:pPr>
        <w:pStyle w:val="6"/>
        <w:rPr>
          <w:rFonts w:hint="eastAsia"/>
          <w:color w:val="auto"/>
          <w:highlight w:val="none"/>
        </w:rPr>
      </w:pPr>
    </w:p>
    <w:p>
      <w:pPr>
        <w:pStyle w:val="6"/>
        <w:rPr>
          <w:rFonts w:hint="eastAsia"/>
          <w:b/>
          <w:bCs/>
          <w:color w:val="auto"/>
          <w:sz w:val="28"/>
          <w:szCs w:val="28"/>
          <w:highlight w:val="none"/>
        </w:rPr>
      </w:pPr>
    </w:p>
    <w:p>
      <w:pPr>
        <w:rPr>
          <w:rFonts w:hint="eastAsia"/>
          <w:color w:val="auto"/>
          <w:highlight w:val="none"/>
        </w:rPr>
      </w:pPr>
    </w:p>
    <w:p>
      <w:pPr>
        <w:spacing w:before="120" w:beforeLines="50" w:after="120" w:afterLines="50" w:line="360" w:lineRule="auto"/>
        <w:jc w:val="center"/>
        <w:outlineLvl w:val="0"/>
        <w:rPr>
          <w:b/>
          <w:bCs/>
          <w:color w:val="auto"/>
          <w:sz w:val="28"/>
          <w:szCs w:val="28"/>
          <w:highlight w:val="none"/>
        </w:rPr>
      </w:pPr>
      <w:r>
        <w:rPr>
          <w:rFonts w:hint="eastAsia"/>
          <w:b/>
          <w:bCs/>
          <w:color w:val="auto"/>
          <w:sz w:val="28"/>
          <w:szCs w:val="28"/>
          <w:highlight w:val="none"/>
        </w:rPr>
        <w:t>第六章 投标文件格式</w:t>
      </w:r>
      <w:bookmarkEnd w:id="15"/>
      <w:bookmarkEnd w:id="16"/>
      <w:bookmarkEnd w:id="17"/>
    </w:p>
    <w:p>
      <w:pPr>
        <w:pStyle w:val="2"/>
        <w:spacing w:line="440" w:lineRule="exact"/>
        <w:jc w:val="center"/>
        <w:rPr>
          <w:b w:val="0"/>
          <w:color w:val="auto"/>
          <w:highlight w:val="none"/>
        </w:rPr>
      </w:pPr>
      <w:bookmarkStart w:id="18" w:name="_Toc435514852"/>
      <w:bookmarkStart w:id="19" w:name="_Toc435515292"/>
      <w:r>
        <w:rPr>
          <w:rFonts w:hint="eastAsia"/>
          <w:b w:val="0"/>
          <w:color w:val="auto"/>
          <w:highlight w:val="none"/>
        </w:rPr>
        <w:t>投标文件包装封面参考</w:t>
      </w:r>
      <w:bookmarkEnd w:id="18"/>
      <w:bookmarkEnd w:id="19"/>
    </w:p>
    <w:tbl>
      <w:tblPr>
        <w:tblStyle w:val="22"/>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8"/>
              <w:spacing w:line="360" w:lineRule="auto"/>
              <w:ind w:firstLine="482" w:firstLineChars="150"/>
              <w:rPr>
                <w:rFonts w:ascii="仿宋_GB2312" w:eastAsia="仿宋_GB2312"/>
                <w:b/>
                <w:color w:val="auto"/>
                <w:sz w:val="32"/>
                <w:highlight w:val="none"/>
              </w:rPr>
            </w:pPr>
          </w:p>
          <w:p>
            <w:pPr>
              <w:pStyle w:val="8"/>
              <w:spacing w:line="400" w:lineRule="exact"/>
              <w:ind w:firstLine="900" w:firstLineChars="320"/>
              <w:rPr>
                <w:rFonts w:ascii="仿宋_GB2312" w:eastAsia="仿宋_GB2312"/>
                <w:b/>
                <w:color w:val="auto"/>
                <w:sz w:val="28"/>
                <w:szCs w:val="28"/>
                <w:highlight w:val="none"/>
                <w:u w:val="single"/>
              </w:rPr>
            </w:pPr>
          </w:p>
          <w:p>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正本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副本</w:t>
            </w:r>
          </w:p>
          <w:p>
            <w:pPr>
              <w:pStyle w:val="8"/>
              <w:spacing w:line="360" w:lineRule="auto"/>
              <w:ind w:firstLine="3398" w:firstLineChars="651"/>
              <w:rPr>
                <w:rFonts w:ascii="黑体" w:eastAsia="黑体"/>
                <w:b/>
                <w:color w:val="auto"/>
                <w:sz w:val="32"/>
                <w:highlight w:val="none"/>
              </w:rPr>
            </w:pPr>
            <w:r>
              <w:rPr>
                <w:rFonts w:hint="eastAsia" w:ascii="黑体" w:eastAsia="黑体"/>
                <w:b/>
                <w:color w:val="auto"/>
                <w:sz w:val="52"/>
                <w:szCs w:val="52"/>
                <w:highlight w:val="none"/>
              </w:rPr>
              <w:t xml:space="preserve">口 </w:t>
            </w:r>
            <w:r>
              <w:rPr>
                <w:rFonts w:hint="eastAsia" w:ascii="黑体" w:eastAsia="黑体"/>
                <w:b/>
                <w:color w:val="auto"/>
                <w:sz w:val="32"/>
                <w:highlight w:val="none"/>
              </w:rPr>
              <w:t>开标信封</w:t>
            </w:r>
          </w:p>
          <w:p>
            <w:pPr>
              <w:pStyle w:val="8"/>
              <w:spacing w:line="400" w:lineRule="exact"/>
              <w:ind w:firstLine="900" w:firstLineChars="320"/>
              <w:rPr>
                <w:rFonts w:ascii="仿宋_GB2312" w:eastAsia="仿宋_GB2312"/>
                <w:b/>
                <w:color w:val="auto"/>
                <w:sz w:val="28"/>
                <w:szCs w:val="28"/>
                <w:highlight w:val="none"/>
              </w:rPr>
            </w:pPr>
          </w:p>
          <w:p>
            <w:pPr>
              <w:pStyle w:val="8"/>
              <w:spacing w:line="400" w:lineRule="exact"/>
              <w:ind w:firstLine="900" w:firstLineChars="320"/>
              <w:rPr>
                <w:rFonts w:hint="eastAsia" w:ascii="仿宋_GB2312" w:eastAsia="仿宋_GB2312"/>
                <w:b/>
                <w:color w:val="auto"/>
                <w:sz w:val="28"/>
                <w:szCs w:val="28"/>
                <w:highlight w:val="none"/>
                <w:u w:val="singl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u w:val="single"/>
                <w:lang w:eastAsia="zh-CN"/>
              </w:rPr>
              <w:t>HDZB-GS2024063</w:t>
            </w:r>
          </w:p>
          <w:p>
            <w:pPr>
              <w:pStyle w:val="8"/>
              <w:spacing w:line="400" w:lineRule="exact"/>
              <w:ind w:left="2277" w:leftChars="427" w:hanging="1380" w:hangingChars="491"/>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u w:val="single"/>
                <w:lang w:eastAsia="zh-CN"/>
              </w:rPr>
              <w:t xml:space="preserve">椰林海鲜码头产业园项目第三方检测监测服务 </w:t>
            </w:r>
            <w:r>
              <w:rPr>
                <w:rFonts w:hint="eastAsia" w:ascii="仿宋_GB2312" w:eastAsia="仿宋_GB2312"/>
                <w:b/>
                <w:color w:val="auto"/>
                <w:sz w:val="28"/>
                <w:szCs w:val="28"/>
                <w:highlight w:val="none"/>
              </w:rPr>
              <w:t xml:space="preserve"> </w:t>
            </w:r>
          </w:p>
          <w:p>
            <w:pPr>
              <w:pStyle w:val="8"/>
              <w:spacing w:line="400" w:lineRule="exact"/>
              <w:ind w:left="2277" w:leftChars="427" w:hanging="1380" w:hangingChars="491"/>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w:t>
            </w:r>
            <w:r>
              <w:rPr>
                <w:rFonts w:hint="eastAsia" w:ascii="仿宋_GB2312" w:eastAsia="仿宋_GB2312"/>
                <w:b/>
                <w:color w:val="auto"/>
                <w:sz w:val="28"/>
                <w:szCs w:val="28"/>
                <w:highlight w:val="none"/>
                <w:u w:val="single"/>
              </w:rPr>
              <w:t xml:space="preserve">                   （盖单位章）</w:t>
            </w:r>
          </w:p>
          <w:p>
            <w:pPr>
              <w:pStyle w:val="8"/>
              <w:spacing w:line="400" w:lineRule="exact"/>
              <w:ind w:left="2277" w:leftChars="427" w:hanging="1380" w:hangingChars="491"/>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投标人地址：</w:t>
            </w:r>
            <w:r>
              <w:rPr>
                <w:rFonts w:hint="eastAsia" w:ascii="仿宋_GB2312" w:eastAsia="仿宋_GB2312"/>
                <w:b/>
                <w:color w:val="auto"/>
                <w:sz w:val="28"/>
                <w:szCs w:val="28"/>
                <w:highlight w:val="none"/>
                <w:u w:val="single"/>
              </w:rPr>
              <w:t xml:space="preserve">                                </w:t>
            </w: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474" w:leftChars="427" w:hanging="1577" w:hangingChars="491"/>
              <w:rPr>
                <w:rFonts w:ascii="仿宋_GB2312" w:eastAsia="仿宋_GB2312"/>
                <w:b/>
                <w:strike/>
                <w:color w:val="auto"/>
                <w:sz w:val="32"/>
                <w:highlight w:val="none"/>
              </w:rPr>
            </w:pPr>
          </w:p>
          <w:p>
            <w:pPr>
              <w:pStyle w:val="8"/>
              <w:spacing w:line="400" w:lineRule="exact"/>
              <w:ind w:left="2277" w:hanging="2277" w:hangingChars="810"/>
              <w:jc w:val="center"/>
              <w:rPr>
                <w:rFonts w:ascii="仿宋_GB2312" w:eastAsia="仿宋_GB2312"/>
                <w:b/>
                <w:strike/>
                <w:color w:val="auto"/>
                <w:sz w:val="32"/>
                <w:highlight w:val="none"/>
              </w:rPr>
            </w:pPr>
            <w:r>
              <w:rPr>
                <w:rFonts w:ascii="宋体" w:hAnsi="宋体"/>
                <w:b/>
                <w:color w:val="auto"/>
                <w:sz w:val="28"/>
                <w:szCs w:val="28"/>
                <w:highlight w:val="none"/>
              </w:rPr>
              <w:t>(</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年</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日</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时</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分</w:t>
            </w:r>
            <w:r>
              <w:rPr>
                <w:rFonts w:ascii="宋体" w:hAnsi="宋体"/>
                <w:b/>
                <w:color w:val="auto"/>
                <w:sz w:val="28"/>
                <w:szCs w:val="28"/>
                <w:highlight w:val="none"/>
              </w:rPr>
              <w:t>)</w:t>
            </w:r>
            <w:r>
              <w:rPr>
                <w:rFonts w:hint="eastAsia" w:ascii="宋体" w:hAnsi="宋体"/>
                <w:b/>
                <w:color w:val="auto"/>
                <w:sz w:val="28"/>
                <w:szCs w:val="28"/>
                <w:highlight w:val="none"/>
              </w:rPr>
              <w:t>之前不得启封</w:t>
            </w:r>
          </w:p>
        </w:tc>
      </w:tr>
    </w:tbl>
    <w:p>
      <w:pPr>
        <w:pStyle w:val="2"/>
        <w:spacing w:before="120" w:beforeLines="50" w:after="120" w:afterLines="50" w:line="360" w:lineRule="auto"/>
        <w:jc w:val="center"/>
        <w:rPr>
          <w:rFonts w:hint="eastAsia"/>
          <w:b w:val="0"/>
          <w:color w:val="auto"/>
          <w:highlight w:val="none"/>
        </w:rPr>
      </w:pPr>
    </w:p>
    <w:p>
      <w:pPr>
        <w:pStyle w:val="2"/>
        <w:rPr>
          <w:rFonts w:hint="eastAsia"/>
          <w:b w:val="0"/>
          <w:color w:val="auto"/>
          <w:highlight w:val="none"/>
        </w:rPr>
      </w:pPr>
    </w:p>
    <w:p>
      <w:pPr>
        <w:rPr>
          <w:rFonts w:hint="eastAsia"/>
        </w:rPr>
      </w:pPr>
    </w:p>
    <w:p>
      <w:pPr>
        <w:pStyle w:val="2"/>
        <w:spacing w:before="120" w:beforeLines="50" w:after="120" w:afterLines="50" w:line="360" w:lineRule="auto"/>
        <w:jc w:val="center"/>
        <w:rPr>
          <w:b w:val="0"/>
          <w:color w:val="auto"/>
          <w:highlight w:val="none"/>
        </w:rPr>
      </w:pPr>
      <w:r>
        <w:rPr>
          <w:rFonts w:hint="eastAsia"/>
          <w:b w:val="0"/>
          <w:color w:val="auto"/>
          <w:highlight w:val="none"/>
        </w:rPr>
        <w:t>投标文件目录表</w:t>
      </w:r>
    </w:p>
    <w:p>
      <w:pPr>
        <w:adjustRightInd w:val="0"/>
        <w:snapToGrid w:val="0"/>
        <w:spacing w:line="360" w:lineRule="auto"/>
        <w:rPr>
          <w:rFonts w:ascii="宋体" w:hAnsi="宋体"/>
          <w:b/>
          <w:color w:val="auto"/>
          <w:highlight w:val="none"/>
        </w:rPr>
      </w:pPr>
      <w:r>
        <w:rPr>
          <w:rFonts w:hint="eastAsia" w:ascii="宋体" w:hAnsi="宋体"/>
          <w:b/>
          <w:color w:val="auto"/>
          <w:highlight w:val="none"/>
        </w:rPr>
        <w:t xml:space="preserve">说明： </w:t>
      </w:r>
    </w:p>
    <w:p>
      <w:pPr>
        <w:pStyle w:val="31"/>
        <w:numPr>
          <w:ilvl w:val="0"/>
          <w:numId w:val="11"/>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投标文件包括但不限于以下组成内容，请按顺序制作。</w:t>
      </w:r>
    </w:p>
    <w:p>
      <w:pPr>
        <w:pStyle w:val="31"/>
        <w:numPr>
          <w:ilvl w:val="0"/>
          <w:numId w:val="11"/>
        </w:numPr>
        <w:adjustRightInd w:val="0"/>
        <w:snapToGrid w:val="0"/>
        <w:spacing w:line="360" w:lineRule="auto"/>
        <w:ind w:firstLineChars="0"/>
        <w:rPr>
          <w:rFonts w:ascii="宋体" w:hAnsi="宋体"/>
          <w:color w:val="auto"/>
          <w:highlight w:val="none"/>
        </w:rPr>
      </w:pPr>
      <w:r>
        <w:rPr>
          <w:rFonts w:hint="eastAsia" w:ascii="宋体" w:hAnsi="宋体"/>
          <w:color w:val="auto"/>
          <w:highlight w:val="none"/>
        </w:rPr>
        <w:t>投标人必须严格按照《资格</w:t>
      </w:r>
      <w:r>
        <w:rPr>
          <w:rFonts w:hint="eastAsia" w:ascii="宋体" w:hAnsi="宋体"/>
          <w:color w:val="auto"/>
          <w:highlight w:val="none"/>
          <w:lang w:eastAsia="zh-CN"/>
        </w:rPr>
        <w:t>、</w:t>
      </w:r>
      <w:r>
        <w:rPr>
          <w:rFonts w:hint="eastAsia" w:ascii="宋体" w:hAnsi="宋体"/>
          <w:color w:val="auto"/>
          <w:highlight w:val="none"/>
        </w:rPr>
        <w:t>符合性审查表》的评审内容的要求如实提供证明材料并应加盖投标人公章。未通过资格、符合性审查的投标人，不进入下一个详细评审环节。</w:t>
      </w:r>
    </w:p>
    <w:tbl>
      <w:tblPr>
        <w:tblStyle w:val="22"/>
        <w:tblW w:w="94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566"/>
        <w:gridCol w:w="6061"/>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atLeast"/>
        </w:trPr>
        <w:tc>
          <w:tcPr>
            <w:tcW w:w="1414" w:type="dxa"/>
            <w:shd w:val="clear" w:color="auto" w:fill="EEECE1"/>
            <w:vAlign w:val="center"/>
          </w:tcPr>
          <w:p>
            <w:pPr>
              <w:jc w:val="center"/>
              <w:rPr>
                <w:rFonts w:ascii="宋体" w:hAnsi="宋体"/>
                <w:b/>
                <w:color w:val="auto"/>
                <w:szCs w:val="21"/>
                <w:highlight w:val="none"/>
              </w:rPr>
            </w:pPr>
            <w:bookmarkStart w:id="20" w:name="_Toc435515305"/>
            <w:bookmarkStart w:id="21" w:name="_Toc435514865"/>
            <w:r>
              <w:rPr>
                <w:rFonts w:hint="eastAsia" w:ascii="宋体" w:hAnsi="宋体"/>
                <w:b/>
                <w:color w:val="auto"/>
                <w:szCs w:val="21"/>
                <w:highlight w:val="none"/>
              </w:rPr>
              <w:t>文件类型</w:t>
            </w:r>
          </w:p>
        </w:tc>
        <w:tc>
          <w:tcPr>
            <w:tcW w:w="566" w:type="dxa"/>
            <w:shd w:val="clear" w:color="auto" w:fill="EEECE1"/>
            <w:vAlign w:val="center"/>
          </w:tcPr>
          <w:p>
            <w:pPr>
              <w:ind w:left="-101" w:leftChars="-48" w:right="-99" w:rightChars="-47"/>
              <w:jc w:val="center"/>
              <w:rPr>
                <w:rFonts w:ascii="宋体" w:hAnsi="宋体"/>
                <w:b/>
                <w:color w:val="auto"/>
                <w:szCs w:val="21"/>
                <w:highlight w:val="none"/>
              </w:rPr>
            </w:pPr>
            <w:r>
              <w:rPr>
                <w:rFonts w:hint="eastAsia" w:ascii="宋体" w:hAnsi="宋体"/>
                <w:b/>
                <w:color w:val="auto"/>
                <w:szCs w:val="21"/>
                <w:highlight w:val="none"/>
              </w:rPr>
              <w:t>序号</w:t>
            </w:r>
          </w:p>
        </w:tc>
        <w:tc>
          <w:tcPr>
            <w:tcW w:w="6061"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文    件    名    称</w:t>
            </w:r>
          </w:p>
        </w:tc>
        <w:tc>
          <w:tcPr>
            <w:tcW w:w="1418" w:type="dxa"/>
            <w:shd w:val="clear" w:color="auto" w:fill="EEECE1"/>
            <w:vAlign w:val="center"/>
          </w:tcPr>
          <w:p>
            <w:pPr>
              <w:jc w:val="center"/>
              <w:rPr>
                <w:rFonts w:ascii="宋体" w:hAnsi="宋体"/>
                <w:b/>
                <w:color w:val="auto"/>
                <w:szCs w:val="21"/>
                <w:highlight w:val="none"/>
              </w:rPr>
            </w:pPr>
            <w:r>
              <w:rPr>
                <w:rFonts w:hint="eastAsia" w:ascii="宋体" w:hAnsi="宋体"/>
                <w:b/>
                <w:color w:val="auto"/>
                <w:szCs w:val="21"/>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414" w:type="dxa"/>
            <w:vMerge w:val="restart"/>
            <w:shd w:val="clear" w:color="auto" w:fill="auto"/>
            <w:vAlign w:val="center"/>
          </w:tcPr>
          <w:p>
            <w:pPr>
              <w:jc w:val="center"/>
              <w:rPr>
                <w:rFonts w:ascii="宋体" w:hAnsi="宋体"/>
                <w:color w:val="auto"/>
                <w:szCs w:val="21"/>
                <w:highlight w:val="none"/>
              </w:rPr>
            </w:pPr>
            <w:r>
              <w:rPr>
                <w:rFonts w:hint="eastAsia" w:ascii="宋体" w:hAnsi="宋体"/>
                <w:b/>
                <w:color w:val="auto"/>
                <w:szCs w:val="21"/>
                <w:highlight w:val="none"/>
              </w:rPr>
              <w:t>资格、符合性审查文件</w:t>
            </w: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Ansi="宋体"/>
                <w:color w:val="auto"/>
                <w:highlight w:val="none"/>
              </w:rPr>
            </w:pPr>
            <w:r>
              <w:rPr>
                <w:rFonts w:hint="eastAsia" w:hAnsi="宋体"/>
                <w:color w:val="auto"/>
                <w:kern w:val="0"/>
                <w:highlight w:val="none"/>
              </w:rPr>
              <w:t>投标函</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Ansi="宋体"/>
                <w:color w:val="auto"/>
                <w:kern w:val="0"/>
                <w:highlight w:val="none"/>
              </w:rPr>
            </w:pPr>
            <w:r>
              <w:rPr>
                <w:rFonts w:hint="eastAsia" w:hAnsi="宋体"/>
                <w:color w:val="auto"/>
                <w:kern w:val="0"/>
                <w:highlight w:val="none"/>
              </w:rPr>
              <w:t>投标人声明</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default" w:ascii="宋体" w:hAnsi="Courier New" w:eastAsia="宋体" w:cs="Courier New"/>
                <w:color w:val="auto"/>
                <w:kern w:val="2"/>
                <w:sz w:val="21"/>
                <w:szCs w:val="21"/>
                <w:highlight w:val="none"/>
                <w:lang w:val="en-US" w:eastAsia="zh-CN" w:bidi="ar-SA"/>
              </w:rPr>
            </w:pPr>
            <w:r>
              <w:rPr>
                <w:rFonts w:hint="eastAsia" w:hAnsi="宋体"/>
                <w:color w:val="auto"/>
                <w:highlight w:val="none"/>
              </w:rPr>
              <w:t>法定代表人授权委托书</w:t>
            </w:r>
            <w:r>
              <w:rPr>
                <w:rFonts w:hint="eastAsia" w:hAnsi="宋体"/>
                <w:color w:val="auto"/>
                <w:highlight w:val="none"/>
                <w:lang w:val="en-US" w:eastAsia="zh-CN"/>
              </w:rPr>
              <w:t>及</w:t>
            </w:r>
            <w:r>
              <w:rPr>
                <w:rFonts w:hint="eastAsia" w:hAnsi="宋体"/>
                <w:color w:val="auto"/>
                <w:highlight w:val="none"/>
              </w:rPr>
              <w:t>法定代表人证明书</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eastAsia" w:ascii="宋体" w:hAnsi="Courier New" w:eastAsia="宋体" w:cs="Courier New"/>
                <w:color w:val="auto"/>
                <w:kern w:val="2"/>
                <w:sz w:val="21"/>
                <w:szCs w:val="21"/>
                <w:highlight w:val="none"/>
                <w:lang w:val="en-US" w:eastAsia="zh-CN" w:bidi="ar-SA"/>
              </w:rPr>
            </w:pPr>
            <w:r>
              <w:rPr>
                <w:rFonts w:hint="default" w:ascii="宋体" w:hAnsi="Courier New" w:eastAsia="宋体" w:cs="Courier New"/>
                <w:color w:val="auto"/>
                <w:kern w:val="2"/>
                <w:sz w:val="21"/>
                <w:szCs w:val="21"/>
                <w:highlight w:val="none"/>
                <w:lang w:val="en-US" w:eastAsia="zh-CN" w:bidi="ar-SA"/>
              </w:rPr>
              <w:t>有效的营业执照</w:t>
            </w:r>
            <w:r>
              <w:rPr>
                <w:rFonts w:hint="eastAsia" w:ascii="宋体" w:hAnsi="宋体"/>
                <w:bCs/>
                <w:color w:val="auto"/>
                <w:sz w:val="21"/>
                <w:szCs w:val="21"/>
                <w:highlight w:val="none"/>
                <w:lang w:val="en-US" w:eastAsia="zh-CN"/>
              </w:rPr>
              <w:t>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eastAsia" w:hAnsi="宋体"/>
                <w:color w:val="auto"/>
                <w:highlight w:val="none"/>
              </w:rPr>
            </w:pPr>
            <w:r>
              <w:rPr>
                <w:rFonts w:hint="eastAsia" w:ascii="宋体" w:hAnsi="宋体"/>
                <w:bCs/>
                <w:color w:val="auto"/>
                <w:sz w:val="21"/>
                <w:szCs w:val="21"/>
                <w:highlight w:val="none"/>
                <w:lang w:val="en-US" w:eastAsia="zh-CN"/>
              </w:rPr>
              <w:t>具有有效的资质证书复印件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eastAsia" w:ascii="宋体" w:hAnsi="宋体" w:cs="宋体"/>
                <w:bCs/>
                <w:color w:val="auto"/>
                <w:sz w:val="21"/>
                <w:szCs w:val="21"/>
                <w:highlight w:val="none"/>
                <w:lang w:val="en-US" w:eastAsia="zh-CN"/>
              </w:rPr>
            </w:pPr>
            <w:r>
              <w:rPr>
                <w:rFonts w:hint="eastAsia" w:ascii="宋体" w:hAnsi="宋体"/>
                <w:bCs/>
                <w:color w:val="auto"/>
                <w:sz w:val="21"/>
                <w:szCs w:val="21"/>
                <w:highlight w:val="none"/>
                <w:lang w:val="en-US" w:eastAsia="zh-CN"/>
              </w:rPr>
              <w:t>具有CMA计量认证合格证书复印件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项目负责人的职称证及近一月社保证明复印件</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4" w:type="dxa"/>
            <w:vMerge w:val="continue"/>
            <w:shd w:val="clear" w:color="auto" w:fill="auto"/>
            <w:vAlign w:val="center"/>
          </w:tcPr>
          <w:p>
            <w:pPr>
              <w:jc w:val="center"/>
              <w:rPr>
                <w:rFonts w:ascii="宋体" w:hAnsi="宋体"/>
                <w:b/>
                <w:color w:val="auto"/>
                <w:szCs w:val="21"/>
                <w:highlight w:val="none"/>
              </w:rPr>
            </w:pPr>
          </w:p>
        </w:tc>
        <w:tc>
          <w:tcPr>
            <w:tcW w:w="566" w:type="dxa"/>
            <w:shd w:val="clear" w:color="auto" w:fill="auto"/>
            <w:vAlign w:val="center"/>
          </w:tcPr>
          <w:p>
            <w:pPr>
              <w:numPr>
                <w:ilvl w:val="0"/>
                <w:numId w:val="12"/>
              </w:numPr>
              <w:ind w:left="-38" w:leftChars="0" w:firstLineChars="0"/>
              <w:jc w:val="center"/>
              <w:rPr>
                <w:rFonts w:ascii="宋体" w:hAnsi="宋体"/>
                <w:color w:val="auto"/>
                <w:szCs w:val="21"/>
                <w:highlight w:val="none"/>
              </w:rPr>
            </w:pPr>
          </w:p>
        </w:tc>
        <w:tc>
          <w:tcPr>
            <w:tcW w:w="6061" w:type="dxa"/>
            <w:shd w:val="clear" w:color="auto" w:fill="auto"/>
            <w:vAlign w:val="center"/>
          </w:tcPr>
          <w:p>
            <w:pPr>
              <w:pStyle w:val="12"/>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提供业绩证明资料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restart"/>
            <w:shd w:val="clear" w:color="auto" w:fill="auto"/>
            <w:vAlign w:val="center"/>
          </w:tcPr>
          <w:p>
            <w:pPr>
              <w:ind w:left="113" w:right="113"/>
              <w:jc w:val="center"/>
              <w:rPr>
                <w:rFonts w:ascii="宋体" w:hAnsi="宋体"/>
                <w:color w:val="auto"/>
                <w:szCs w:val="21"/>
                <w:highlight w:val="none"/>
              </w:rPr>
            </w:pP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p>
        </w:tc>
        <w:tc>
          <w:tcPr>
            <w:tcW w:w="566" w:type="dxa"/>
            <w:shd w:val="clear" w:color="auto" w:fill="auto"/>
            <w:vAlign w:val="center"/>
          </w:tcPr>
          <w:p>
            <w:pPr>
              <w:numPr>
                <w:ilvl w:val="0"/>
                <w:numId w:val="0"/>
              </w:numPr>
              <w:ind w:leftChars="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6061" w:type="dxa"/>
            <w:shd w:val="clear" w:color="auto" w:fill="auto"/>
            <w:vAlign w:val="center"/>
          </w:tcPr>
          <w:p>
            <w:pPr>
              <w:pStyle w:val="12"/>
              <w:rPr>
                <w:rFonts w:hAnsi="宋体"/>
                <w:color w:val="auto"/>
                <w:highlight w:val="none"/>
              </w:rPr>
            </w:pPr>
            <w:r>
              <w:rPr>
                <w:rFonts w:hint="eastAsia" w:hAnsi="宋体"/>
                <w:color w:val="auto"/>
                <w:highlight w:val="none"/>
              </w:rPr>
              <w:t>开标一览表(报价表)</w:t>
            </w:r>
          </w:p>
        </w:tc>
        <w:tc>
          <w:tcPr>
            <w:tcW w:w="1418" w:type="dxa"/>
            <w:shd w:val="clear" w:color="auto" w:fill="EEECE1"/>
            <w:vAlign w:val="center"/>
          </w:tcPr>
          <w:p>
            <w:pPr>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1414" w:type="dxa"/>
            <w:vMerge w:val="continue"/>
            <w:shd w:val="clear" w:color="auto" w:fill="auto"/>
            <w:vAlign w:val="center"/>
          </w:tcPr>
          <w:p>
            <w:pPr>
              <w:ind w:right="113"/>
              <w:jc w:val="center"/>
              <w:rPr>
                <w:rFonts w:hint="eastAsia" w:ascii="宋体" w:hAnsi="宋体"/>
                <w:b/>
                <w:color w:val="auto"/>
                <w:szCs w:val="21"/>
                <w:highlight w:val="none"/>
              </w:rPr>
            </w:pPr>
          </w:p>
        </w:tc>
        <w:tc>
          <w:tcPr>
            <w:tcW w:w="566" w:type="dxa"/>
            <w:shd w:val="clear" w:color="auto" w:fill="auto"/>
            <w:vAlign w:val="center"/>
          </w:tcPr>
          <w:p>
            <w:pPr>
              <w:numPr>
                <w:ilvl w:val="0"/>
                <w:numId w:val="0"/>
              </w:numPr>
              <w:ind w:leftChars="0"/>
              <w:jc w:val="center"/>
              <w:rPr>
                <w:rFonts w:ascii="宋体" w:hAnsi="宋体"/>
                <w:color w:val="auto"/>
                <w:szCs w:val="21"/>
                <w:highlight w:val="none"/>
              </w:rPr>
            </w:pPr>
            <w:r>
              <w:rPr>
                <w:rFonts w:hint="eastAsia" w:ascii="宋体" w:hAnsi="宋体"/>
                <w:color w:val="auto"/>
                <w:szCs w:val="21"/>
                <w:highlight w:val="none"/>
                <w:lang w:val="en-US" w:eastAsia="zh-CN"/>
              </w:rPr>
              <w:t>2</w:t>
            </w:r>
          </w:p>
        </w:tc>
        <w:tc>
          <w:tcPr>
            <w:tcW w:w="6061" w:type="dxa"/>
            <w:shd w:val="clear" w:color="auto" w:fill="auto"/>
            <w:vAlign w:val="center"/>
          </w:tcPr>
          <w:p>
            <w:pPr>
              <w:pStyle w:val="12"/>
              <w:rPr>
                <w:rFonts w:hint="eastAsia" w:hAnsi="宋体" w:eastAsia="宋体"/>
                <w:color w:val="auto"/>
                <w:highlight w:val="none"/>
                <w:lang w:eastAsia="zh-CN"/>
              </w:rPr>
            </w:pPr>
            <w:r>
              <w:rPr>
                <w:rFonts w:hint="eastAsia"/>
                <w:b w:val="0"/>
                <w:color w:val="auto"/>
                <w:highlight w:val="none"/>
              </w:rPr>
              <w:t>实质性响应一览表</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3" w:hRule="atLeast"/>
        </w:trPr>
        <w:tc>
          <w:tcPr>
            <w:tcW w:w="1414" w:type="dxa"/>
            <w:vMerge w:val="continue"/>
            <w:shd w:val="clear" w:color="auto" w:fill="auto"/>
            <w:vAlign w:val="center"/>
          </w:tcPr>
          <w:p>
            <w:pPr>
              <w:ind w:left="113" w:right="113"/>
              <w:jc w:val="center"/>
              <w:rPr>
                <w:rFonts w:ascii="宋体" w:hAnsi="宋体"/>
                <w:color w:val="auto"/>
                <w:szCs w:val="21"/>
                <w:highlight w:val="none"/>
              </w:rPr>
            </w:pPr>
            <w:bookmarkStart w:id="22" w:name="_Toc435514855"/>
            <w:bookmarkStart w:id="23" w:name="_Toc275865606"/>
            <w:bookmarkStart w:id="24" w:name="_Toc435515295"/>
          </w:p>
        </w:tc>
        <w:tc>
          <w:tcPr>
            <w:tcW w:w="566" w:type="dxa"/>
            <w:shd w:val="clear" w:color="auto" w:fill="auto"/>
            <w:vAlign w:val="center"/>
          </w:tcPr>
          <w:p>
            <w:pPr>
              <w:numPr>
                <w:ilvl w:val="0"/>
                <w:numId w:val="0"/>
              </w:numPr>
              <w:ind w:left="180" w:leftChars="0"/>
              <w:jc w:val="both"/>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6061" w:type="dxa"/>
            <w:shd w:val="clear" w:color="auto" w:fill="auto"/>
            <w:vAlign w:val="center"/>
          </w:tcPr>
          <w:p>
            <w:pPr>
              <w:pStyle w:val="12"/>
              <w:rPr>
                <w:rFonts w:hint="eastAsia" w:hAnsi="宋体"/>
                <w:color w:val="auto"/>
                <w:kern w:val="0"/>
                <w:highlight w:val="none"/>
              </w:rPr>
            </w:pPr>
            <w:r>
              <w:rPr>
                <w:rFonts w:hint="eastAsia" w:ascii="宋体" w:hAnsi="宋体"/>
                <w:color w:val="auto"/>
                <w:kern w:val="0"/>
                <w:szCs w:val="21"/>
                <w:highlight w:val="none"/>
              </w:rPr>
              <w:t>投标人认为需要提供的其他资料</w:t>
            </w:r>
          </w:p>
        </w:tc>
        <w:tc>
          <w:tcPr>
            <w:tcW w:w="1418" w:type="dxa"/>
            <w:shd w:val="clear" w:color="auto" w:fill="EEECE1"/>
            <w:vAlign w:val="center"/>
          </w:tcPr>
          <w:p>
            <w:pPr>
              <w:jc w:val="center"/>
              <w:rPr>
                <w:rFonts w:hint="eastAsia" w:ascii="宋体" w:hAnsi="宋体"/>
                <w:color w:val="auto"/>
                <w:szCs w:val="21"/>
                <w:highlight w:val="none"/>
              </w:rPr>
            </w:pPr>
            <w:r>
              <w:rPr>
                <w:rFonts w:hint="eastAsia" w:ascii="宋体" w:hAnsi="宋体"/>
                <w:color w:val="auto"/>
                <w:szCs w:val="21"/>
                <w:highlight w:val="none"/>
              </w:rPr>
              <w:t>第（ ）页</w:t>
            </w:r>
          </w:p>
        </w:tc>
      </w:tr>
    </w:tbl>
    <w:p>
      <w:pPr>
        <w:pStyle w:val="2"/>
        <w:spacing w:before="120" w:beforeLines="50" w:after="120" w:afterLines="50" w:line="360" w:lineRule="auto"/>
        <w:jc w:val="center"/>
        <w:rPr>
          <w:rFonts w:ascii="宋体" w:hAnsi="宋体" w:cs="宋体"/>
          <w:b w:val="0"/>
          <w:color w:val="auto"/>
          <w:highlight w:val="none"/>
        </w:rPr>
      </w:pPr>
      <w:r>
        <w:rPr>
          <w:b w:val="0"/>
          <w:color w:val="auto"/>
          <w:highlight w:val="none"/>
        </w:rPr>
        <w:br w:type="page"/>
      </w:r>
      <w:r>
        <w:rPr>
          <w:rFonts w:hint="eastAsia"/>
          <w:b w:val="0"/>
          <w:color w:val="auto"/>
          <w:highlight w:val="none"/>
        </w:rPr>
        <w:t>投标函</w:t>
      </w:r>
    </w:p>
    <w:p>
      <w:pPr>
        <w:spacing w:line="360" w:lineRule="auto"/>
        <w:ind w:left="105" w:leftChars="50" w:right="279" w:rightChars="133" w:firstLine="2"/>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cs="宋体"/>
          <w:b/>
          <w:color w:val="auto"/>
          <w:szCs w:val="21"/>
          <w:highlight w:val="none"/>
          <w:lang w:eastAsia="zh-CN"/>
        </w:rPr>
        <w:t>广东国仕工程咨询有限公司</w:t>
      </w:r>
    </w:p>
    <w:p>
      <w:pPr>
        <w:spacing w:line="360" w:lineRule="auto"/>
        <w:ind w:left="105" w:leftChars="50" w:right="-57" w:rightChars="-27" w:firstLine="420" w:firstLineChars="200"/>
        <w:rPr>
          <w:rFonts w:ascii="宋体" w:hAnsi="宋体" w:cs="宋体"/>
          <w:color w:val="auto"/>
          <w:szCs w:val="21"/>
          <w:highlight w:val="none"/>
        </w:rPr>
      </w:pPr>
      <w:r>
        <w:rPr>
          <w:rFonts w:hint="eastAsia" w:ascii="宋体" w:hAnsi="宋体" w:cs="宋体"/>
          <w:color w:val="auto"/>
          <w:szCs w:val="21"/>
          <w:highlight w:val="none"/>
        </w:rPr>
        <w:t>我方确认收到贵方</w:t>
      </w:r>
      <w:r>
        <w:rPr>
          <w:rFonts w:hint="eastAsia" w:ascii="宋体" w:hAnsi="宋体"/>
          <w:color w:val="auto"/>
          <w:highlight w:val="none"/>
          <w:u w:val="single"/>
          <w:lang w:eastAsia="zh-CN"/>
        </w:rPr>
        <w:t xml:space="preserve">椰林海鲜码头产业园项目第三方检测监测服务 </w:t>
      </w:r>
      <w:r>
        <w:rPr>
          <w:rFonts w:hint="eastAsia" w:ascii="宋体" w:hAnsi="宋体"/>
          <w:color w:val="auto"/>
          <w:highlight w:val="none"/>
        </w:rPr>
        <w:t>（项目编号：</w:t>
      </w:r>
      <w:r>
        <w:rPr>
          <w:rFonts w:hint="eastAsia" w:ascii="宋体" w:hAnsi="宋体"/>
          <w:color w:val="auto"/>
          <w:highlight w:val="none"/>
          <w:u w:val="single"/>
          <w:lang w:val="en-US" w:eastAsia="zh-CN"/>
        </w:rPr>
        <w:t>HDZB-GS2024063</w:t>
      </w:r>
      <w:r>
        <w:rPr>
          <w:rFonts w:hint="eastAsia" w:ascii="宋体" w:hAnsi="宋体"/>
          <w:color w:val="auto"/>
          <w:highlight w:val="none"/>
        </w:rPr>
        <w:t>）</w:t>
      </w:r>
      <w:r>
        <w:rPr>
          <w:rFonts w:hint="eastAsia" w:ascii="宋体" w:hAnsi="宋体" w:cs="宋体"/>
          <w:color w:val="auto"/>
          <w:szCs w:val="21"/>
          <w:highlight w:val="none"/>
        </w:rPr>
        <w:t>，</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(投标人名称、地址)</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作为投标人已正式授权</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u w:val="single"/>
        </w:rPr>
        <w:t xml:space="preserve"> (被投标人授权代表全名、职务)</w:t>
      </w:r>
      <w:r>
        <w:rPr>
          <w:rFonts w:hint="eastAsia" w:ascii="宋体" w:hAnsi="宋体" w:cs="宋体"/>
          <w:color w:val="auto"/>
          <w:kern w:val="28"/>
          <w:szCs w:val="21"/>
          <w:highlight w:val="none"/>
          <w:u w:val="single"/>
        </w:rPr>
        <w:t xml:space="preserve">   </w:t>
      </w:r>
      <w:r>
        <w:rPr>
          <w:rFonts w:hint="eastAsia" w:ascii="宋体" w:hAnsi="宋体" w:cs="宋体"/>
          <w:color w:val="auto"/>
          <w:szCs w:val="21"/>
          <w:highlight w:val="none"/>
        </w:rPr>
        <w:t>为我方签名代表，签名代表在此声明并同意：</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我们愿意遵守招标代理机构招标文件的各项规定，自愿参加投标, 并已清楚招标文件的要求及有关文件规定，并严格按照招标文件的规定履行全部责任和义务。</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我们同意本投标自投标截止之日起</w:t>
      </w:r>
      <w:r>
        <w:rPr>
          <w:rFonts w:hint="eastAsia" w:ascii="宋体" w:hAnsi="宋体" w:cs="宋体"/>
          <w:b/>
          <w:color w:val="auto"/>
          <w:szCs w:val="21"/>
          <w:highlight w:val="none"/>
          <w:u w:val="single"/>
        </w:rPr>
        <w:t>90</w:t>
      </w:r>
      <w:r>
        <w:rPr>
          <w:rFonts w:hint="eastAsia" w:ascii="宋体" w:hAnsi="宋体" w:cs="宋体"/>
          <w:b/>
          <w:color w:val="auto"/>
          <w:szCs w:val="21"/>
          <w:highlight w:val="none"/>
        </w:rPr>
        <w:t>天内有效。如果我们的投标被接受，则直至合同生效时止，本投标始终有效并不撤回已递交的投标文件。</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我们同意提供招标采购单位与评标委员会要求的有关投标的一切数据或资料。</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我们理解招标采购单位与评标委员会并无义务必须接受最低报价的投标或其它任何投标，完全理解招标代理机构拒绝迟到的任何投标和最低投标报价不是被授予中标的唯一条件。</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 xml:space="preserve">如果我们未对招标文件全部要求作出实质性响应，则完全同意并接受按无效投标处理。 </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3"/>
        </w:numPr>
        <w:tabs>
          <w:tab w:val="left" w:pos="426"/>
          <w:tab w:val="clear" w:pos="780"/>
        </w:tabs>
        <w:snapToGrid w:val="0"/>
        <w:spacing w:line="360" w:lineRule="auto"/>
        <w:ind w:left="426" w:right="-57" w:rightChars="-27" w:hanging="426"/>
        <w:rPr>
          <w:rFonts w:ascii="宋体" w:hAnsi="宋体" w:cs="宋体"/>
          <w:b/>
          <w:color w:val="auto"/>
          <w:szCs w:val="21"/>
          <w:highlight w:val="none"/>
        </w:rPr>
      </w:pPr>
      <w:r>
        <w:rPr>
          <w:rFonts w:hint="eastAsia" w:ascii="宋体" w:hAnsi="宋体" w:cs="宋体"/>
          <w:b/>
          <w:color w:val="auto"/>
          <w:szCs w:val="21"/>
          <w:highlight w:val="none"/>
        </w:rPr>
        <w:t>我们是依法注册的法人，在法律、财务及运作上完全独立于招标人和招标代理机构。</w:t>
      </w:r>
    </w:p>
    <w:p>
      <w:pPr>
        <w:numPr>
          <w:ilvl w:val="0"/>
          <w:numId w:val="13"/>
        </w:numPr>
        <w:tabs>
          <w:tab w:val="left" w:pos="426"/>
          <w:tab w:val="clear" w:pos="780"/>
        </w:tabs>
        <w:snapToGrid w:val="0"/>
        <w:spacing w:line="360" w:lineRule="auto"/>
        <w:ind w:left="426" w:right="279" w:rightChars="133" w:hanging="426"/>
        <w:rPr>
          <w:rFonts w:ascii="宋体" w:hAnsi="宋体" w:cs="宋体"/>
          <w:b/>
          <w:color w:val="auto"/>
          <w:szCs w:val="21"/>
          <w:highlight w:val="none"/>
        </w:rPr>
      </w:pPr>
      <w:r>
        <w:rPr>
          <w:rFonts w:hint="eastAsia" w:ascii="宋体" w:hAnsi="宋体" w:cs="宋体"/>
          <w:b/>
          <w:color w:val="auto"/>
          <w:szCs w:val="21"/>
          <w:highlight w:val="none"/>
        </w:rPr>
        <w:t>所有有关本次投标的函电请寄：</w:t>
      </w:r>
      <w:r>
        <w:rPr>
          <w:rFonts w:hint="eastAsia" w:ascii="宋体" w:hAnsi="宋体" w:cs="宋体"/>
          <w:b/>
          <w:color w:val="auto"/>
          <w:szCs w:val="21"/>
          <w:highlight w:val="none"/>
          <w:u w:val="single"/>
        </w:rPr>
        <w:t xml:space="preserve">  （投标人地址）    </w:t>
      </w:r>
      <w:r>
        <w:rPr>
          <w:rFonts w:hint="eastAsia" w:ascii="宋体" w:hAnsi="宋体" w:cs="宋体"/>
          <w:b/>
          <w:color w:val="auto"/>
          <w:szCs w:val="21"/>
          <w:highlight w:val="none"/>
        </w:rPr>
        <w:t xml:space="preserve"> </w:t>
      </w:r>
    </w:p>
    <w:p>
      <w:pPr>
        <w:autoSpaceDE w:val="0"/>
        <w:autoSpaceDN w:val="0"/>
        <w:adjustRightInd w:val="0"/>
        <w:spacing w:line="360" w:lineRule="auto"/>
        <w:ind w:right="279" w:rightChars="133"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备注：本投标函内容不得擅自删改，否则视为无效投标。 </w:t>
      </w:r>
    </w:p>
    <w:p>
      <w:pPr>
        <w:spacing w:line="500" w:lineRule="exact"/>
        <w:rPr>
          <w:color w:val="auto"/>
          <w:spacing w:val="4"/>
          <w:highlight w:val="none"/>
        </w:rPr>
      </w:pPr>
    </w:p>
    <w:p>
      <w:pPr>
        <w:adjustRightInd w:val="0"/>
        <w:snapToGrid w:val="0"/>
        <w:spacing w:line="480" w:lineRule="auto"/>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adjustRightInd w:val="0"/>
        <w:snapToGrid w:val="0"/>
        <w:spacing w:line="480" w:lineRule="auto"/>
        <w:rPr>
          <w:color w:val="auto"/>
          <w:spacing w:val="4"/>
          <w:highlight w:val="none"/>
          <w:u w:val="single"/>
        </w:rPr>
      </w:pPr>
      <w:r>
        <w:rPr>
          <w:rFonts w:hint="eastAsia"/>
          <w:color w:val="auto"/>
          <w:spacing w:val="4"/>
          <w:highlight w:val="none"/>
        </w:rPr>
        <w:t>法定代表人或</w:t>
      </w:r>
      <w:r>
        <w:rPr>
          <w:rFonts w:hint="eastAsia" w:hAnsi="宋体"/>
          <w:color w:val="auto"/>
          <w:spacing w:val="4"/>
          <w:highlight w:val="none"/>
        </w:rPr>
        <w:t>投标人授权代表</w:t>
      </w:r>
      <w:r>
        <w:rPr>
          <w:rFonts w:hint="eastAsia" w:ascii="宋体" w:hAnsi="宋体"/>
          <w:color w:val="auto"/>
          <w:highlight w:val="none"/>
        </w:rPr>
        <w:t>（签名或盖章）：</w:t>
      </w:r>
      <w:r>
        <w:rPr>
          <w:rFonts w:hint="eastAsia" w:ascii="宋体" w:hAnsi="宋体"/>
          <w:color w:val="auto"/>
          <w:highlight w:val="none"/>
          <w:u w:val="single"/>
        </w:rPr>
        <w:t xml:space="preserve">     </w:t>
      </w:r>
      <w:r>
        <w:rPr>
          <w:color w:val="auto"/>
          <w:spacing w:val="4"/>
          <w:highlight w:val="none"/>
          <w:u w:val="single"/>
        </w:rPr>
        <w:t xml:space="preserve"> </w:t>
      </w:r>
      <w:r>
        <w:rPr>
          <w:rFonts w:hint="eastAsia"/>
          <w:color w:val="auto"/>
          <w:spacing w:val="4"/>
          <w:highlight w:val="none"/>
          <w:u w:val="single"/>
        </w:rPr>
        <w:t xml:space="preserve">               </w:t>
      </w:r>
    </w:p>
    <w:p>
      <w:pPr>
        <w:widowControl/>
        <w:adjustRightInd w:val="0"/>
        <w:snapToGrid w:val="0"/>
        <w:spacing w:line="480" w:lineRule="auto"/>
        <w:jc w:val="left"/>
        <w:rPr>
          <w:rFonts w:ascii="宋体" w:hAnsi="宋体" w:cs="宋体"/>
          <w:b/>
          <w:color w:val="auto"/>
          <w:sz w:val="25"/>
          <w:szCs w:val="25"/>
          <w:highlight w:val="none"/>
        </w:rPr>
      </w:pPr>
      <w:r>
        <w:rPr>
          <w:rFonts w:hint="eastAsia"/>
          <w:color w:val="auto"/>
          <w:spacing w:val="4"/>
          <w:highlight w:val="none"/>
        </w:rPr>
        <w:t>电话</w:t>
      </w:r>
      <w:r>
        <w:rPr>
          <w:rFonts w:hint="eastAsia" w:ascii="宋体" w:hAnsi="宋体"/>
          <w:color w:val="auto"/>
          <w:highlight w:val="none"/>
        </w:rPr>
        <w:t>：</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传真：</w:t>
      </w:r>
      <w:r>
        <w:rPr>
          <w:color w:val="auto"/>
          <w:spacing w:val="4"/>
          <w:highlight w:val="none"/>
          <w:u w:val="single"/>
        </w:rPr>
        <w:t xml:space="preserve">         </w:t>
      </w:r>
      <w:r>
        <w:rPr>
          <w:rFonts w:ascii="宋体" w:hAnsi="宋体"/>
          <w:color w:val="auto"/>
          <w:highlight w:val="none"/>
        </w:rPr>
        <w:t xml:space="preserve">     </w:t>
      </w:r>
      <w:r>
        <w:rPr>
          <w:rFonts w:hint="eastAsia" w:ascii="宋体" w:hAnsi="宋体"/>
          <w:color w:val="auto"/>
          <w:highlight w:val="none"/>
        </w:rPr>
        <w:t>邮编：</w:t>
      </w:r>
      <w:r>
        <w:rPr>
          <w:color w:val="auto"/>
          <w:spacing w:val="4"/>
          <w:highlight w:val="none"/>
          <w:u w:val="single"/>
        </w:rPr>
        <w:t xml:space="preserve">         </w:t>
      </w:r>
    </w:p>
    <w:p>
      <w:pPr>
        <w:widowControl/>
        <w:spacing w:before="260" w:after="260"/>
        <w:ind w:right="384"/>
        <w:jc w:val="center"/>
        <w:rPr>
          <w:rFonts w:ascii="宋体" w:hAnsi="宋体"/>
          <w:color w:val="auto"/>
          <w:sz w:val="22"/>
          <w:szCs w:val="21"/>
          <w:highlight w:val="none"/>
        </w:rPr>
      </w:pPr>
      <w:r>
        <w:rPr>
          <w:b w:val="0"/>
          <w:color w:val="auto"/>
          <w:sz w:val="21"/>
          <w:szCs w:val="21"/>
          <w:highlight w:val="none"/>
        </w:rPr>
        <w:br w:type="page"/>
      </w:r>
      <w:bookmarkEnd w:id="22"/>
      <w:bookmarkEnd w:id="23"/>
      <w:bookmarkEnd w:id="24"/>
      <w:r>
        <w:rPr>
          <w:rFonts w:hint="eastAsia" w:ascii="宋体" w:hAnsi="宋体" w:cs="宋体"/>
          <w:b/>
          <w:bCs/>
          <w:color w:val="auto"/>
          <w:sz w:val="32"/>
          <w:szCs w:val="32"/>
          <w:highlight w:val="none"/>
        </w:rPr>
        <w:t>投标人声明</w:t>
      </w:r>
    </w:p>
    <w:p>
      <w:pPr>
        <w:pStyle w:val="2"/>
        <w:spacing w:before="120" w:beforeLines="50" w:after="120" w:afterLines="50" w:line="360" w:lineRule="auto"/>
        <w:jc w:val="center"/>
        <w:rPr>
          <w:b w:val="0"/>
          <w:color w:val="auto"/>
          <w:sz w:val="21"/>
          <w:szCs w:val="21"/>
          <w:highlight w:val="none"/>
        </w:rPr>
      </w:pPr>
    </w:p>
    <w:p>
      <w:pPr>
        <w:widowControl/>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本招标项目招标人及招标监管机构：</w:t>
      </w:r>
    </w:p>
    <w:p>
      <w:pPr>
        <w:spacing w:line="360" w:lineRule="auto"/>
        <w:rPr>
          <w:rFonts w:asci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本公司就参加</w:t>
      </w:r>
      <w:r>
        <w:rPr>
          <w:rFonts w:hint="eastAsia" w:ascii="宋体" w:hAnsi="宋体"/>
          <w:color w:val="auto"/>
          <w:highlight w:val="none"/>
          <w:u w:val="single"/>
          <w:lang w:eastAsia="zh-CN"/>
        </w:rPr>
        <w:t>椰林海鲜码头产业园项目第三方检测监测服务</w:t>
      </w:r>
      <w:r>
        <w:rPr>
          <w:rFonts w:hint="eastAsia" w:ascii="宋体" w:hAnsi="宋体" w:cs="宋体"/>
          <w:color w:val="auto"/>
          <w:sz w:val="21"/>
          <w:szCs w:val="21"/>
          <w:highlight w:val="none"/>
        </w:rPr>
        <w:t>投标工作，作出郑重声明：</w:t>
      </w: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一、本公司保证投标文件材料及其后提供的一切材料都是真实的。如我司成为本项目中标候选人，我司同意并授权招标人将我司投标文件商务部分的人员、业绩、奖项等资料进行公开。</w:t>
      </w: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二、本公司保证不与其他单位围标、串标，不出让投标资格，不向招标人或评标委员会成员行贿。</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三、本公司不存在</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的任何一种情形</w:t>
      </w:r>
      <w:r>
        <w:rPr>
          <w:rFonts w:hint="eastAsia" w:ascii="宋体" w:hAnsi="宋体" w:cs="宋体"/>
          <w:color w:val="auto"/>
          <w:sz w:val="21"/>
          <w:szCs w:val="21"/>
          <w:highlight w:val="none"/>
          <w:lang w:eastAsia="zh-CN"/>
        </w:rPr>
        <w:t>：（1）为招标人不具有独立法人资格的附属机构（单位）；</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（2）与招标人存在利害关系且可能影响招标公正性；</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（3）与本招标项目的其他投标人为同一个单位负责人；</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（4）与本招标项目的其他投标人存在控股、管理关系；</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（5）为本招标项目的代建人；</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（6）为本招标项目的招标代理机构；</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（7）与本招标项目的代建人或招标代理机构同为一个法定代表人；</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（8）与本招标项目的代建人或招标代理机构存在控股或参股关系；</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（9）与本招标项目的施工承包人以及建筑材料、建筑构配件和设备供应商有隶属关系或者其他利害关系；</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（10）被依法暂停或者取消投标资格；</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（11）被责令停产停业、暂扣或者吊销许可证、暂扣或者吊销执照；</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（12）进入清算程序，或被宣告破产，或其他丧失履约能力的情形；</w:t>
      </w:r>
    </w:p>
    <w:p>
      <w:pPr>
        <w:widowControl/>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（13）被列入拖欠农民工工资失信联合惩戒对象名单；</w:t>
      </w:r>
    </w:p>
    <w:p>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eastAsia="zh-CN"/>
        </w:rPr>
        <w:t>（14）法律法规或投标人须知前附表规定的其他情形。</w:t>
      </w:r>
      <w:r>
        <w:rPr>
          <w:rFonts w:hint="eastAsia" w:ascii="宋体" w:hAnsi="宋体" w:cs="宋体"/>
          <w:color w:val="auto"/>
          <w:sz w:val="21"/>
          <w:szCs w:val="21"/>
          <w:highlight w:val="none"/>
        </w:rPr>
        <w:t>。</w:t>
      </w:r>
    </w:p>
    <w:p>
      <w:pPr>
        <w:widowControl/>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pPr>
        <w:widowControl/>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五、本公司承诺，中标后严格执行安全生产相关管理规定。</w:t>
      </w:r>
    </w:p>
    <w:p>
      <w:pPr>
        <w:widowControl/>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本公司未被纳入联合惩戒范围；本公司近二年（从2022年1月1日起至投标截止时间止）未因以往检(监)测工作中存在伪造检(监)测数据、出具虚假检(监)测报告的行为被各级建设行政主管部门或市场监督管理部门行政处罚或通报的。</w:t>
      </w:r>
    </w:p>
    <w:p>
      <w:pPr>
        <w:pStyle w:val="20"/>
        <w:spacing w:line="360" w:lineRule="auto"/>
        <w:ind w:firstLine="422" w:firstLineChars="200"/>
        <w:rPr>
          <w:rFonts w:hint="eastAsia"/>
          <w:color w:val="auto"/>
          <w:sz w:val="21"/>
          <w:szCs w:val="21"/>
          <w:highlight w:val="none"/>
        </w:rPr>
      </w:pPr>
      <w:r>
        <w:rPr>
          <w:rFonts w:hint="eastAsia" w:ascii="宋体" w:hAnsi="宋体" w:cs="宋体"/>
          <w:b/>
          <w:bCs/>
          <w:color w:val="auto"/>
          <w:kern w:val="0"/>
          <w:sz w:val="21"/>
          <w:szCs w:val="21"/>
          <w:highlight w:val="none"/>
        </w:rPr>
        <w:t>七、与本公司单位负责人为同一人或者与本公司存在控股、管理关系的其他单位包括</w:t>
      </w:r>
      <w:r>
        <w:rPr>
          <w:rFonts w:hint="eastAsia" w:ascii="宋体" w:hAnsi="宋体" w:cs="宋体"/>
          <w:b/>
          <w:bCs/>
          <w:color w:val="auto"/>
          <w:kern w:val="0"/>
          <w:sz w:val="21"/>
          <w:szCs w:val="21"/>
          <w:highlight w:val="none"/>
          <w:u w:val="single"/>
        </w:rPr>
        <w:t xml:space="preserve">                     </w:t>
      </w:r>
      <w:r>
        <w:rPr>
          <w:rFonts w:hint="eastAsia" w:ascii="宋体" w:hAnsi="宋体" w:cs="宋体"/>
          <w:b/>
          <w:bCs/>
          <w:color w:val="auto"/>
          <w:kern w:val="0"/>
          <w:sz w:val="21"/>
          <w:szCs w:val="21"/>
          <w:highlight w:val="none"/>
        </w:rPr>
        <w:t>。（注：本条由投标人如实填写，如有，应列出全部满足招标公告资质要求的相关单位的名称；如无，则填写“无”。）</w:t>
      </w:r>
    </w:p>
    <w:p>
      <w:pPr>
        <w:widowControl/>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本公司违反上述保证，或本声明陈述与事实不符，经查实，本公司愿意接受公开通报，承担由此带来的法律后果，并自愿停止参加广州市行政辖区内的招标投标活动三个月。</w:t>
      </w:r>
    </w:p>
    <w:p>
      <w:pPr>
        <w:widowControl/>
        <w:snapToGrid w:val="0"/>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特此声明。</w:t>
      </w:r>
    </w:p>
    <w:p>
      <w:pPr>
        <w:widowControl/>
        <w:snapToGrid w:val="0"/>
        <w:spacing w:line="360" w:lineRule="auto"/>
        <w:rPr>
          <w:rFonts w:hint="eastAsia" w:ascii="宋体" w:cs="宋体"/>
          <w:color w:val="auto"/>
          <w:sz w:val="21"/>
          <w:szCs w:val="21"/>
          <w:highlight w:val="none"/>
        </w:rPr>
      </w:pPr>
      <w:r>
        <w:rPr>
          <w:rFonts w:hint="eastAsia" w:ascii="宋体" w:cs="宋体"/>
          <w:color w:val="auto"/>
          <w:sz w:val="21"/>
          <w:szCs w:val="21"/>
          <w:highlight w:val="none"/>
        </w:rPr>
        <w:t xml:space="preserve"> </w:t>
      </w:r>
    </w:p>
    <w:p>
      <w:pPr>
        <w:widowControl/>
        <w:snapToGrid w:val="0"/>
        <w:spacing w:line="360" w:lineRule="auto"/>
        <w:rPr>
          <w:rFonts w:ascii="宋体" w:cs="宋体"/>
          <w:color w:val="auto"/>
          <w:sz w:val="21"/>
          <w:szCs w:val="21"/>
          <w:highlight w:val="none"/>
        </w:rPr>
      </w:pPr>
    </w:p>
    <w:p>
      <w:pPr>
        <w:widowControl/>
        <w:snapToGrid w:val="0"/>
        <w:spacing w:line="360" w:lineRule="auto"/>
        <w:ind w:firstLine="2940" w:firstLineChars="1400"/>
        <w:rPr>
          <w:rFonts w:hint="eastAsia" w:ascii="宋体" w:hAnsi="宋体" w:cs="宋体"/>
          <w:color w:val="auto"/>
          <w:sz w:val="21"/>
          <w:szCs w:val="21"/>
          <w:highlight w:val="none"/>
        </w:rPr>
      </w:pPr>
      <w:r>
        <w:rPr>
          <w:rFonts w:hint="eastAsia" w:ascii="宋体" w:hAnsi="宋体" w:cs="宋体"/>
          <w:color w:val="auto"/>
          <w:sz w:val="21"/>
          <w:szCs w:val="21"/>
          <w:highlight w:val="none"/>
        </w:rPr>
        <w:t>声明企业</w:t>
      </w:r>
      <w:r>
        <w:rPr>
          <w:rFonts w:ascii="宋体" w:hAnsi="宋体" w:cs="宋体"/>
          <w:color w:val="auto"/>
          <w:sz w:val="21"/>
          <w:szCs w:val="21"/>
          <w:highlight w:val="none"/>
        </w:rPr>
        <w:t>(</w:t>
      </w:r>
      <w:r>
        <w:rPr>
          <w:rFonts w:hint="eastAsia" w:ascii="宋体" w:hAnsi="宋体" w:cs="宋体"/>
          <w:color w:val="auto"/>
          <w:sz w:val="21"/>
          <w:szCs w:val="21"/>
          <w:highlight w:val="none"/>
        </w:rPr>
        <w:t>盖公章</w:t>
      </w:r>
      <w:r>
        <w:rPr>
          <w:rFonts w:ascii="宋体" w:hAnsi="宋体" w:cs="宋体"/>
          <w:color w:val="auto"/>
          <w:sz w:val="21"/>
          <w:szCs w:val="21"/>
          <w:highlight w:val="none"/>
        </w:rPr>
        <w:t>)</w:t>
      </w:r>
      <w:r>
        <w:rPr>
          <w:rFonts w:hint="eastAsia" w:ascii="宋体" w:hAnsi="宋体" w:cs="宋体"/>
          <w:color w:val="auto"/>
          <w:sz w:val="21"/>
          <w:szCs w:val="21"/>
          <w:highlight w:val="none"/>
        </w:rPr>
        <w:t>：</w:t>
      </w:r>
    </w:p>
    <w:p>
      <w:pPr>
        <w:widowControl/>
        <w:snapToGrid w:val="0"/>
        <w:spacing w:line="360" w:lineRule="auto"/>
        <w:ind w:firstLine="2940" w:firstLineChars="14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法定代表人或授权委托人（签字或盖私章）：</w:t>
      </w:r>
    </w:p>
    <w:p>
      <w:pPr>
        <w:widowControl/>
        <w:snapToGrid w:val="0"/>
        <w:spacing w:line="360" w:lineRule="auto"/>
        <w:ind w:firstLine="2940" w:firstLineChars="1400"/>
        <w:rPr>
          <w:rFonts w:hint="eastAsia" w:ascii="宋体" w:hAnsi="宋体" w:cs="宋体"/>
          <w:color w:val="auto"/>
          <w:sz w:val="21"/>
          <w:szCs w:val="21"/>
          <w:highlight w:val="none"/>
        </w:rPr>
      </w:pPr>
      <w:r>
        <w:rPr>
          <w:rFonts w:hint="eastAsia" w:ascii="宋体" w:cs="宋体"/>
          <w:color w:val="auto"/>
          <w:sz w:val="21"/>
          <w:szCs w:val="21"/>
          <w:highlight w:val="none"/>
        </w:rPr>
        <w:t>项目负责人</w:t>
      </w:r>
      <w:r>
        <w:rPr>
          <w:rFonts w:hint="eastAsia" w:ascii="宋体" w:hAnsi="宋体" w:cs="宋体"/>
          <w:color w:val="auto"/>
          <w:sz w:val="21"/>
          <w:szCs w:val="21"/>
          <w:highlight w:val="none"/>
        </w:rPr>
        <w:t>（签字）：</w:t>
      </w:r>
    </w:p>
    <w:p>
      <w:pPr>
        <w:widowControl/>
        <w:snapToGrid w:val="0"/>
        <w:spacing w:line="360" w:lineRule="auto"/>
        <w:rPr>
          <w:rFonts w:hint="eastAsia" w:ascii="宋体" w:hAnsi="宋体" w:cs="宋体"/>
          <w:color w:val="auto"/>
          <w:sz w:val="21"/>
          <w:szCs w:val="21"/>
          <w:highlight w:val="none"/>
        </w:rPr>
      </w:pPr>
      <w:r>
        <w:rPr>
          <w:rFonts w:ascii="宋体" w:hAnsi="宋体" w:cs="宋体"/>
          <w:color w:val="auto"/>
          <w:sz w:val="21"/>
          <w:szCs w:val="21"/>
          <w:highlight w:val="none"/>
        </w:rPr>
        <w:t xml:space="preserve">             </w:t>
      </w:r>
      <w:r>
        <w:rPr>
          <w:rFonts w:hint="eastAsia" w:ascii="宋体" w:hAnsi="宋体" w:cs="宋体"/>
          <w:color w:val="auto"/>
          <w:sz w:val="21"/>
          <w:szCs w:val="21"/>
          <w:highlight w:val="non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 xml:space="preserve">      年</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 xml:space="preserve">  月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日</w:t>
      </w: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0"/>
        <w:rPr>
          <w:rFonts w:hint="eastAsia" w:ascii="宋体" w:hAnsi="宋体" w:cs="宋体"/>
          <w:color w:val="auto"/>
          <w:sz w:val="24"/>
          <w:highlight w:val="none"/>
        </w:rPr>
      </w:pPr>
    </w:p>
    <w:p>
      <w:pPr>
        <w:pStyle w:val="2"/>
        <w:adjustRightInd w:val="0"/>
        <w:snapToGrid w:val="0"/>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法定代表人授权委托书</w:t>
      </w:r>
    </w:p>
    <w:p>
      <w:pPr>
        <w:pStyle w:val="12"/>
        <w:spacing w:line="360" w:lineRule="auto"/>
        <w:ind w:right="84" w:rightChars="40" w:firstLine="420" w:firstLineChars="200"/>
        <w:rPr>
          <w:rFonts w:hAnsi="宋体" w:cs="宋体"/>
          <w:color w:val="auto"/>
          <w:highlight w:val="none"/>
        </w:rPr>
      </w:pPr>
      <w:r>
        <w:rPr>
          <w:rFonts w:hint="eastAsia" w:hAnsi="宋体" w:cs="宋体"/>
          <w:color w:val="auto"/>
          <w:highlight w:val="none"/>
        </w:rPr>
        <w:t>本授权委托书声明：注册于</w:t>
      </w:r>
      <w:r>
        <w:rPr>
          <w:rFonts w:hint="eastAsia" w:hAnsi="宋体" w:cs="宋体"/>
          <w:color w:val="auto"/>
          <w:highlight w:val="none"/>
          <w:u w:val="single"/>
        </w:rPr>
        <w:t xml:space="preserve">    （投标人地址）  </w:t>
      </w:r>
      <w:r>
        <w:rPr>
          <w:rFonts w:hint="eastAsia" w:hAnsi="宋体" w:cs="宋体"/>
          <w:color w:val="auto"/>
          <w:highlight w:val="none"/>
        </w:rPr>
        <w:t>的</w:t>
      </w:r>
      <w:r>
        <w:rPr>
          <w:rFonts w:hint="eastAsia" w:hAnsi="宋体" w:cs="宋体"/>
          <w:color w:val="auto"/>
          <w:highlight w:val="none"/>
          <w:u w:val="single"/>
        </w:rPr>
        <w:t xml:space="preserve">  （投标人名称）    </w:t>
      </w:r>
      <w:r>
        <w:rPr>
          <w:rFonts w:hint="eastAsia" w:hAnsi="宋体" w:cs="宋体"/>
          <w:color w:val="auto"/>
          <w:highlight w:val="none"/>
        </w:rPr>
        <w:t>在下面签名的</w:t>
      </w:r>
      <w:r>
        <w:rPr>
          <w:rFonts w:hint="eastAsia" w:hAnsi="宋体" w:cs="宋体"/>
          <w:color w:val="auto"/>
          <w:highlight w:val="none"/>
          <w:u w:val="single"/>
        </w:rPr>
        <w:t>（法定代表人姓名、职务）</w:t>
      </w:r>
      <w:r>
        <w:rPr>
          <w:rFonts w:hint="eastAsia" w:hAnsi="宋体" w:cs="宋体"/>
          <w:color w:val="auto"/>
          <w:highlight w:val="none"/>
        </w:rPr>
        <w:t>在此授权</w:t>
      </w:r>
      <w:r>
        <w:rPr>
          <w:rFonts w:hint="eastAsia" w:hAnsi="宋体" w:cs="宋体"/>
          <w:color w:val="auto"/>
          <w:highlight w:val="none"/>
          <w:u w:val="single"/>
        </w:rPr>
        <w:t>（被授权人姓名、职务）</w:t>
      </w:r>
      <w:r>
        <w:rPr>
          <w:rFonts w:hint="eastAsia" w:hAnsi="宋体" w:cs="宋体"/>
          <w:color w:val="auto"/>
          <w:highlight w:val="none"/>
        </w:rPr>
        <w:t>作为我公司的合法代理人，就</w:t>
      </w:r>
      <w:r>
        <w:rPr>
          <w:rFonts w:hint="eastAsia" w:hAnsi="宋体"/>
          <w:color w:val="auto"/>
          <w:highlight w:val="none"/>
          <w:u w:val="single"/>
          <w:lang w:eastAsia="zh-CN"/>
        </w:rPr>
        <w:t xml:space="preserve">椰林海鲜码头产业园项目第三方检测监测服务 </w:t>
      </w:r>
      <w:r>
        <w:rPr>
          <w:rFonts w:hint="eastAsia" w:hAnsi="宋体"/>
          <w:color w:val="auto"/>
          <w:highlight w:val="none"/>
        </w:rPr>
        <w:t>（项目编号：</w:t>
      </w:r>
      <w:r>
        <w:rPr>
          <w:rFonts w:hint="eastAsia" w:hAnsi="宋体"/>
          <w:color w:val="auto"/>
          <w:highlight w:val="none"/>
          <w:u w:val="single"/>
          <w:lang w:val="en-US" w:eastAsia="zh-CN"/>
        </w:rPr>
        <w:t>HDZB-GS2024063</w:t>
      </w:r>
      <w:r>
        <w:rPr>
          <w:rFonts w:hint="eastAsia" w:hAnsi="宋体"/>
          <w:color w:val="auto"/>
          <w:highlight w:val="none"/>
        </w:rPr>
        <w:t>）</w:t>
      </w:r>
      <w:r>
        <w:rPr>
          <w:rFonts w:hint="eastAsia" w:hAnsi="宋体" w:cs="宋体"/>
          <w:color w:val="auto"/>
          <w:highlight w:val="none"/>
        </w:rPr>
        <w:t>的招投标活动，采购合同的签订、执行、完成和售后服务，作为投标人代表以我方的名义处理一切与之有关的事务。</w:t>
      </w:r>
    </w:p>
    <w:p>
      <w:pPr>
        <w:pStyle w:val="12"/>
        <w:spacing w:line="360" w:lineRule="auto"/>
        <w:ind w:right="279" w:rightChars="133" w:firstLine="420" w:firstLineChars="200"/>
        <w:rPr>
          <w:rFonts w:hAnsi="宋体" w:cs="宋体"/>
          <w:color w:val="auto"/>
          <w:highlight w:val="none"/>
        </w:rPr>
      </w:pPr>
      <w:r>
        <w:rPr>
          <w:rFonts w:hint="eastAsia" w:hAnsi="宋体" w:cs="宋体"/>
          <w:color w:val="auto"/>
          <w:highlight w:val="none"/>
        </w:rPr>
        <w:t>被授权人（投标人授权代表）无转委托权限。</w:t>
      </w:r>
    </w:p>
    <w:p>
      <w:pPr>
        <w:spacing w:line="360" w:lineRule="auto"/>
        <w:ind w:right="279" w:rightChars="133" w:firstLine="420" w:firstLineChars="200"/>
        <w:rPr>
          <w:rFonts w:ascii="宋体" w:hAnsi="宋体" w:cs="宋体"/>
          <w:color w:val="auto"/>
          <w:szCs w:val="21"/>
          <w:highlight w:val="none"/>
        </w:rPr>
      </w:pPr>
      <w:r>
        <w:rPr>
          <w:rFonts w:hint="eastAsia" w:ascii="宋体" w:hAnsi="宋体" w:cs="宋体"/>
          <w:color w:val="auto"/>
          <w:szCs w:val="21"/>
          <w:highlight w:val="none"/>
        </w:rPr>
        <w:t>本授权书自法定代表人签字之日起生效，特此声明。</w:t>
      </w:r>
    </w:p>
    <w:p>
      <w:pPr>
        <w:spacing w:line="480" w:lineRule="auto"/>
        <w:ind w:left="2" w:leftChars="1" w:firstLine="1365" w:firstLineChars="650"/>
        <w:rPr>
          <w:rFonts w:ascii="宋体" w:hAnsi="宋体" w:cs="宋体"/>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随附《法定代表人证明》</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法定代表人（签字或盖章）：</w:t>
      </w:r>
    </w:p>
    <w:p>
      <w:pPr>
        <w:tabs>
          <w:tab w:val="left" w:pos="3780"/>
        </w:tabs>
        <w:spacing w:line="360" w:lineRule="auto"/>
        <w:rPr>
          <w:rFonts w:ascii="宋体" w:hAnsi="宋体" w:cs="宋体"/>
          <w:color w:val="auto"/>
          <w:szCs w:val="21"/>
          <w:highlight w:val="none"/>
        </w:rPr>
      </w:pPr>
      <w:r>
        <w:rPr>
          <w:rFonts w:hint="eastAsia" w:ascii="宋体" w:hAnsi="宋体" w:cs="宋体"/>
          <w:color w:val="auto"/>
          <w:szCs w:val="21"/>
          <w:highlight w:val="none"/>
        </w:rPr>
        <w:t>签字日期：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1159" w:leftChars="552" w:firstLine="2261"/>
        <w:rPr>
          <w:rFonts w:ascii="宋体" w:hAnsi="宋体" w:cs="宋体"/>
          <w:color w:val="auto"/>
          <w:szCs w:val="21"/>
          <w:highlight w:val="none"/>
        </w:rPr>
      </w:pPr>
    </w:p>
    <w:p>
      <w:pPr>
        <w:spacing w:line="360" w:lineRule="auto"/>
        <w:rPr>
          <w:rFonts w:ascii="宋体" w:hAnsi="宋体" w:cs="宋体"/>
          <w:color w:val="auto"/>
          <w:sz w:val="25"/>
          <w:szCs w:val="25"/>
          <w:highlight w:val="none"/>
        </w:rPr>
      </w:pPr>
      <w:r>
        <w:rPr>
          <w:rFonts w:hint="eastAsia" w:ascii="宋体" w:hAnsi="宋体" w:cs="宋体"/>
          <w:color w:val="auto"/>
          <w:szCs w:val="21"/>
          <w:highlight w:val="none"/>
        </w:rPr>
        <w:t xml:space="preserve">被授权人（投标人授权代表）（签字或盖章）： </w:t>
      </w:r>
    </w:p>
    <w:p>
      <w:pPr>
        <w:spacing w:line="360" w:lineRule="auto"/>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60288;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mV9P9kAAAAKAQAADwAAAAAAAAABACAAAAAiAAAAZHJz&#10;L2Rvd25yZXYueG1sUEsBAhQAFAAAAAgAh07iQPmA80YDAgAAKgQAAA4AAAAAAAAAAQAgAAAAKAEA&#10;AGRycy9lMm9Eb2MueG1sUEsFBgAAAAAGAAYAWQEAAJ0FA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1312"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1312;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WpT2AAAAAoBAAAPAAAAAAAAAAEAIAAAACIAAABkcnMvZG93&#10;bnJldi54bWxQSwECFAAUAAAACACHTuJAl9Gz2wACAAAqBAAADgAAAAAAAAABACAAAAAnAQAAZHJz&#10;L2Uyb0RvYy54bWxQSwUGAAAAAAYABgBZAQAAmQ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spacing w:line="440" w:lineRule="exact"/>
        <w:rPr>
          <w:rFonts w:ascii="宋体" w:hAnsi="宋体" w:cs="宋体"/>
          <w:color w:val="auto"/>
          <w:sz w:val="25"/>
          <w:szCs w:val="25"/>
          <w:highlight w:val="none"/>
        </w:rPr>
      </w:pPr>
    </w:p>
    <w:p>
      <w:pPr>
        <w:pStyle w:val="2"/>
        <w:spacing w:before="120" w:beforeLines="50" w:after="120" w:afterLines="50" w:line="360" w:lineRule="auto"/>
        <w:jc w:val="center"/>
        <w:rPr>
          <w:rFonts w:ascii="宋体" w:hAnsi="宋体" w:cs="宋体"/>
          <w:b w:val="0"/>
          <w:color w:val="auto"/>
          <w:highlight w:val="none"/>
        </w:rPr>
      </w:pPr>
      <w:r>
        <w:rPr>
          <w:rFonts w:ascii="宋体" w:hAnsi="宋体"/>
          <w:color w:val="auto"/>
          <w:highlight w:val="none"/>
        </w:rPr>
        <w:br w:type="page"/>
      </w:r>
      <w:r>
        <w:rPr>
          <w:rFonts w:hint="eastAsia"/>
          <w:b w:val="0"/>
          <w:color w:val="auto"/>
          <w:highlight w:val="none"/>
        </w:rPr>
        <w:t>法定代表人证明书</w:t>
      </w:r>
    </w:p>
    <w:p>
      <w:pPr>
        <w:tabs>
          <w:tab w:val="left" w:pos="900"/>
        </w:tabs>
        <w:spacing w:line="480" w:lineRule="auto"/>
        <w:ind w:firstLine="945" w:firstLineChars="450"/>
        <w:rPr>
          <w:rFonts w:ascii="宋体" w:hAnsi="宋体"/>
          <w:color w:val="auto"/>
          <w:highlight w:val="none"/>
        </w:rPr>
      </w:pPr>
      <w:r>
        <w:rPr>
          <w:rFonts w:hint="eastAsia" w:ascii="宋体" w:hAnsi="宋体"/>
          <w:color w:val="auto"/>
          <w:highlight w:val="none"/>
        </w:rPr>
        <w:t>______________同志，现任我单位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pPr>
        <w:spacing w:line="480" w:lineRule="auto"/>
        <w:ind w:firstLine="420" w:firstLineChars="200"/>
        <w:rPr>
          <w:rFonts w:ascii="宋体" w:hAnsi="宋体"/>
          <w:color w:val="auto"/>
          <w:highlight w:val="none"/>
        </w:rPr>
      </w:pPr>
      <w:r>
        <w:rPr>
          <w:rFonts w:hint="eastAsia" w:ascii="宋体" w:hAnsi="宋体"/>
          <w:color w:val="auto"/>
          <w:highlight w:val="none"/>
        </w:rPr>
        <w:t>有效日期与本公司投标文件中标注的投标有效期相同。签发日期：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480" w:lineRule="auto"/>
        <w:ind w:firstLine="420" w:firstLineChars="200"/>
        <w:rPr>
          <w:rFonts w:ascii="宋体" w:hAnsi="宋体"/>
          <w:color w:val="auto"/>
          <w:highlight w:val="none"/>
        </w:rPr>
      </w:pPr>
      <w:r>
        <w:rPr>
          <w:rFonts w:hint="eastAsia" w:ascii="宋体" w:hAnsi="宋体"/>
          <w:color w:val="auto"/>
          <w:highlight w:val="none"/>
        </w:rPr>
        <w:t>附：</w:t>
      </w:r>
    </w:p>
    <w:p>
      <w:pPr>
        <w:spacing w:line="480" w:lineRule="auto"/>
        <w:ind w:firstLine="840" w:firstLineChars="400"/>
        <w:rPr>
          <w:rFonts w:ascii="宋体" w:hAnsi="宋体"/>
          <w:color w:val="auto"/>
          <w:highlight w:val="none"/>
        </w:rPr>
      </w:pPr>
      <w:r>
        <w:rPr>
          <w:rFonts w:hint="eastAsia" w:ascii="宋体" w:hAnsi="宋体"/>
          <w:color w:val="auto"/>
          <w:highlight w:val="none"/>
        </w:rPr>
        <w:t xml:space="preserve">营业执照（注册号）：                       </w:t>
      </w:r>
    </w:p>
    <w:p>
      <w:pPr>
        <w:spacing w:line="480" w:lineRule="auto"/>
        <w:ind w:firstLine="840" w:firstLineChars="400"/>
        <w:rPr>
          <w:rFonts w:ascii="宋体" w:hAnsi="宋体"/>
          <w:color w:val="auto"/>
          <w:highlight w:val="none"/>
        </w:rPr>
      </w:pPr>
      <w:r>
        <w:rPr>
          <w:rFonts w:hint="eastAsia" w:ascii="宋体" w:hAnsi="宋体"/>
          <w:color w:val="auto"/>
          <w:highlight w:val="none"/>
        </w:rPr>
        <w:t>经济性质：</w:t>
      </w:r>
    </w:p>
    <w:p>
      <w:pPr>
        <w:spacing w:line="480" w:lineRule="auto"/>
        <w:ind w:firstLine="840" w:firstLineChars="400"/>
        <w:rPr>
          <w:rFonts w:ascii="宋体" w:hAnsi="宋体"/>
          <w:color w:val="auto"/>
          <w:highlight w:val="none"/>
        </w:rPr>
      </w:pPr>
      <w:r>
        <w:rPr>
          <w:rFonts w:hint="eastAsia" w:ascii="宋体" w:hAnsi="宋体"/>
          <w:color w:val="auto"/>
          <w:highlight w:val="none"/>
        </w:rPr>
        <w:t>主营（产）：</w:t>
      </w:r>
    </w:p>
    <w:p>
      <w:pPr>
        <w:spacing w:line="480" w:lineRule="auto"/>
        <w:ind w:firstLine="840" w:firstLineChars="400"/>
        <w:rPr>
          <w:rFonts w:ascii="宋体" w:hAnsi="宋体"/>
          <w:color w:val="auto"/>
          <w:highlight w:val="none"/>
        </w:rPr>
      </w:pPr>
      <w:r>
        <w:rPr>
          <w:rFonts w:hint="eastAsia" w:ascii="宋体" w:hAnsi="宋体"/>
          <w:color w:val="auto"/>
          <w:highlight w:val="none"/>
        </w:rPr>
        <w:t>兼营（产）：</w:t>
      </w:r>
    </w:p>
    <w:p>
      <w:pPr>
        <w:spacing w:line="480" w:lineRule="auto"/>
        <w:ind w:firstLine="1000" w:firstLineChars="400"/>
        <w:rPr>
          <w:rFonts w:ascii="宋体" w:hAnsi="宋体" w:cs="宋体"/>
          <w:color w:val="auto"/>
          <w:sz w:val="25"/>
          <w:szCs w:val="25"/>
          <w:highlight w:val="none"/>
        </w:rPr>
      </w:pPr>
      <w:r>
        <w:rPr>
          <w:rFonts w:ascii="宋体" w:hAnsi="宋体" w:cs="宋体"/>
          <w:color w:val="auto"/>
          <w:sz w:val="25"/>
          <w:szCs w:val="25"/>
          <w:highlight w:val="none"/>
        </w:rPr>
        <mc:AlternateContent>
          <mc:Choice Requires="wps">
            <w:drawing>
              <wp:anchor distT="0" distB="0" distL="114300" distR="114300" simplePos="0" relativeHeight="251663360"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6" name="矩形 6"/>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3360;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zglMrZAAAACgEAAA8AAAAAAAAAAQAgAAAAIgAAAGRycy9k&#10;b3ducmV2LnhtbFBLAQIUABQAAAAIAIdO4kCZ9NVYAQIAACoEAAAOAAAAAAAAAAEAIAAAACg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ascii="宋体" w:hAnsi="宋体" w:cs="宋体"/>
          <w:color w:val="auto"/>
          <w:sz w:val="25"/>
          <w:szCs w:val="25"/>
          <w:highlight w:val="none"/>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1" name="矩形 1"/>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2336;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tdjUTXAAAACAEAAA8AAAAAAAAAAQAgAAAAIgAAAGRycy9k&#10;b3ducmV2LnhtbFBLAQIUABQAAAAIAIdO4kAJy2WIAwIAACoEAAAOAAAAAAAAAAEAIAAAACYBAABk&#10;cnMvZTJvRG9jLnhtbFBLBQYAAAAABgAGAFkBAACb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b/>
          <w:bCs/>
          <w:color w:val="auto"/>
          <w:szCs w:val="21"/>
          <w:highlight w:val="none"/>
        </w:rPr>
      </w:pPr>
    </w:p>
    <w:p>
      <w:pPr>
        <w:spacing w:line="500" w:lineRule="exact"/>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投标人名称：（盖公章）：</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                             日期：</w:t>
      </w:r>
    </w:p>
    <w:p>
      <w:pPr>
        <w:rPr>
          <w:bCs/>
          <w:color w:val="auto"/>
          <w:highlight w:val="none"/>
        </w:rPr>
      </w:pPr>
      <w:r>
        <w:rPr>
          <w:rFonts w:ascii="宋体" w:hAnsi="宋体"/>
          <w:color w:val="auto"/>
          <w:highlight w:val="none"/>
        </w:rPr>
        <w:br w:type="page"/>
      </w:r>
    </w:p>
    <w:p>
      <w:pPr>
        <w:pStyle w:val="2"/>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开标一览表(报价表)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椰林海鲜码头产业园项目第三方检测监测服务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HDZB-GS2024063</w:t>
      </w:r>
    </w:p>
    <w:tbl>
      <w:tblPr>
        <w:tblStyle w:val="23"/>
        <w:tblW w:w="881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1906"/>
        <w:gridCol w:w="339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58" w:type="dxa"/>
            <w:vMerge w:val="restart"/>
            <w:shd w:val="clear" w:color="auto" w:fill="EBEAE0"/>
            <w:noWrap w:val="0"/>
            <w:vAlign w:val="center"/>
          </w:tcPr>
          <w:p>
            <w:pPr>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序号</w:t>
            </w:r>
          </w:p>
        </w:tc>
        <w:tc>
          <w:tcPr>
            <w:tcW w:w="1906"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招标内容</w:t>
            </w:r>
          </w:p>
        </w:tc>
        <w:tc>
          <w:tcPr>
            <w:tcW w:w="3396" w:type="dxa"/>
            <w:vMerge w:val="restart"/>
            <w:shd w:val="clear" w:color="auto" w:fill="EBEAE0"/>
            <w:noWrap w:val="0"/>
            <w:vAlign w:val="center"/>
          </w:tcPr>
          <w:p>
            <w:pPr>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检测类型</w:t>
            </w:r>
            <w:r>
              <w:rPr>
                <w:rFonts w:hint="eastAsia" w:ascii="宋体" w:hAnsi="宋体" w:cs="宋体"/>
                <w:color w:val="auto"/>
                <w:highlight w:val="none"/>
                <w:lang w:val="en-US" w:eastAsia="zh-CN"/>
              </w:rPr>
              <w:t>、项目、内容</w:t>
            </w:r>
          </w:p>
          <w:p>
            <w:pPr>
              <w:jc w:val="center"/>
              <w:rPr>
                <w:rFonts w:hint="default" w:ascii="宋体" w:hAnsi="宋体"/>
                <w:color w:val="auto"/>
                <w:sz w:val="21"/>
                <w:szCs w:val="21"/>
                <w:highlight w:val="none"/>
                <w:lang w:val="en-US" w:eastAsia="zh-CN"/>
              </w:rPr>
            </w:pPr>
          </w:p>
        </w:tc>
        <w:tc>
          <w:tcPr>
            <w:tcW w:w="3150" w:type="dxa"/>
            <w:vMerge w:val="restart"/>
            <w:shd w:val="clear" w:color="auto" w:fill="EBEAE0"/>
            <w:noWrap w:val="0"/>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投标</w:t>
            </w:r>
            <w:r>
              <w:rPr>
                <w:rFonts w:hint="eastAsia" w:ascii="宋体" w:hAnsi="宋体" w:eastAsia="宋体" w:cs="宋体"/>
                <w:color w:val="auto"/>
                <w:kern w:val="0"/>
                <w:sz w:val="21"/>
                <w:szCs w:val="21"/>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58" w:type="dxa"/>
            <w:vMerge w:val="continue"/>
            <w:shd w:val="clear" w:color="auto" w:fill="EBEAE0"/>
            <w:noWrap w:val="0"/>
            <w:vAlign w:val="center"/>
          </w:tcPr>
          <w:p>
            <w:pPr>
              <w:jc w:val="center"/>
              <w:rPr>
                <w:color w:val="auto"/>
                <w:sz w:val="21"/>
                <w:szCs w:val="21"/>
              </w:rPr>
            </w:pPr>
          </w:p>
        </w:tc>
        <w:tc>
          <w:tcPr>
            <w:tcW w:w="1906" w:type="dxa"/>
            <w:vMerge w:val="continue"/>
            <w:shd w:val="clear" w:color="auto" w:fill="EBEAE0"/>
            <w:noWrap w:val="0"/>
            <w:vAlign w:val="center"/>
          </w:tcPr>
          <w:p>
            <w:pPr>
              <w:jc w:val="center"/>
              <w:rPr>
                <w:color w:val="auto"/>
                <w:sz w:val="21"/>
                <w:szCs w:val="21"/>
              </w:rPr>
            </w:pPr>
          </w:p>
        </w:tc>
        <w:tc>
          <w:tcPr>
            <w:tcW w:w="3396" w:type="dxa"/>
            <w:vMerge w:val="continue"/>
            <w:shd w:val="clear" w:color="auto" w:fill="EBEAE0"/>
            <w:noWrap w:val="0"/>
            <w:vAlign w:val="center"/>
          </w:tcPr>
          <w:p>
            <w:pPr>
              <w:jc w:val="center"/>
              <w:rPr>
                <w:color w:val="auto"/>
                <w:sz w:val="21"/>
                <w:szCs w:val="21"/>
              </w:rPr>
            </w:pPr>
          </w:p>
        </w:tc>
        <w:tc>
          <w:tcPr>
            <w:tcW w:w="3150" w:type="dxa"/>
            <w:vMerge w:val="continue"/>
            <w:shd w:val="clear" w:color="auto" w:fill="EBEAE0"/>
            <w:noWrap w:val="0"/>
            <w:vAlign w:val="center"/>
          </w:tcPr>
          <w:p>
            <w:pPr>
              <w:jc w:val="center"/>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58" w:type="dxa"/>
            <w:noWrap w:val="0"/>
            <w:vAlign w:val="center"/>
          </w:tcPr>
          <w:p>
            <w:pPr>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p>
        </w:tc>
        <w:tc>
          <w:tcPr>
            <w:tcW w:w="1906" w:type="dxa"/>
            <w:noWrap w:val="0"/>
            <w:vAlign w:val="center"/>
          </w:tcPr>
          <w:p>
            <w:pPr>
              <w:widowControl/>
              <w:wordWrap w:val="0"/>
              <w:spacing w:line="360" w:lineRule="auto"/>
              <w:jc w:val="cente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第三方检测</w:t>
            </w:r>
            <w:r>
              <w:rPr>
                <w:rFonts w:hint="eastAsia" w:ascii="宋体" w:hAnsi="宋体" w:cs="宋体"/>
                <w:i w:val="0"/>
                <w:iCs w:val="0"/>
                <w:caps w:val="0"/>
                <w:color w:val="auto"/>
                <w:spacing w:val="0"/>
                <w:kern w:val="0"/>
                <w:sz w:val="21"/>
                <w:szCs w:val="21"/>
                <w:highlight w:val="none"/>
                <w:u w:val="none"/>
                <w:shd w:val="clear" w:color="auto" w:fill="FFFFFF"/>
                <w:lang w:val="en-US" w:eastAsia="zh-CN" w:bidi="ar"/>
              </w:rPr>
              <w:t>监测</w:t>
            </w:r>
            <w:r>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t>服务</w:t>
            </w:r>
          </w:p>
          <w:p>
            <w:pPr>
              <w:widowControl/>
              <w:wordWrap w:val="0"/>
              <w:spacing w:line="360" w:lineRule="auto"/>
              <w:jc w:val="left"/>
              <w:rPr>
                <w:rFonts w:hint="eastAsia" w:ascii="宋体" w:hAnsi="宋体" w:eastAsia="宋体" w:cs="宋体"/>
                <w:i w:val="0"/>
                <w:iCs w:val="0"/>
                <w:caps w:val="0"/>
                <w:color w:val="auto"/>
                <w:spacing w:val="0"/>
                <w:kern w:val="0"/>
                <w:sz w:val="21"/>
                <w:szCs w:val="21"/>
                <w:highlight w:val="none"/>
                <w:u w:val="none"/>
                <w:shd w:val="clear" w:color="auto" w:fill="FFFFFF"/>
                <w:lang w:val="en-US" w:eastAsia="zh-CN" w:bidi="ar"/>
              </w:rPr>
            </w:pPr>
          </w:p>
        </w:tc>
        <w:tc>
          <w:tcPr>
            <w:tcW w:w="3396" w:type="dxa"/>
            <w:noWrap w:val="0"/>
            <w:vAlign w:val="center"/>
          </w:tcPr>
          <w:p>
            <w:pPr>
              <w:widowControl/>
              <w:wordWrap w:val="0"/>
              <w:spacing w:line="360" w:lineRule="auto"/>
              <w:jc w:val="center"/>
              <w:rPr>
                <w:rFonts w:hint="eastAsia" w:ascii="宋体" w:hAnsi="宋体" w:cs="宋体"/>
                <w:color w:val="auto"/>
                <w:kern w:val="0"/>
                <w:sz w:val="21"/>
                <w:szCs w:val="21"/>
              </w:rPr>
            </w:pPr>
            <w:r>
              <w:rPr>
                <w:rFonts w:hint="eastAsia" w:ascii="宋体" w:hAnsi="宋体" w:cs="宋体"/>
                <w:color w:val="auto"/>
                <w:kern w:val="0"/>
                <w:sz w:val="21"/>
                <w:szCs w:val="21"/>
              </w:rPr>
              <w:t>详见招标文件</w:t>
            </w:r>
            <w:r>
              <w:rPr>
                <w:rFonts w:hint="eastAsia" w:ascii="宋体" w:hAnsi="宋体"/>
                <w:color w:val="auto"/>
                <w:sz w:val="21"/>
                <w:szCs w:val="21"/>
              </w:rPr>
              <w:t>第</w:t>
            </w:r>
            <w:r>
              <w:rPr>
                <w:rFonts w:hint="eastAsia" w:ascii="宋体" w:hAnsi="宋体"/>
                <w:color w:val="auto"/>
                <w:sz w:val="21"/>
                <w:szCs w:val="21"/>
                <w:lang w:val="en-US" w:eastAsia="zh-CN"/>
              </w:rPr>
              <w:t>七</w:t>
            </w:r>
            <w:r>
              <w:rPr>
                <w:rFonts w:hint="eastAsia" w:ascii="宋体" w:hAnsi="宋体"/>
                <w:color w:val="auto"/>
                <w:sz w:val="21"/>
                <w:szCs w:val="21"/>
              </w:rPr>
              <w:t>章</w:t>
            </w:r>
            <w:r>
              <w:rPr>
                <w:rFonts w:hint="eastAsia" w:ascii="宋体" w:hAnsi="宋体"/>
                <w:color w:val="auto"/>
                <w:sz w:val="21"/>
                <w:szCs w:val="21"/>
                <w:lang w:val="en-US" w:eastAsia="zh-CN"/>
              </w:rPr>
              <w:t>工程量清单及招标控制价</w:t>
            </w:r>
          </w:p>
          <w:p>
            <w:pPr>
              <w:jc w:val="center"/>
              <w:rPr>
                <w:color w:val="auto"/>
                <w:sz w:val="21"/>
                <w:szCs w:val="21"/>
                <w:highlight w:val="none"/>
              </w:rPr>
            </w:pPr>
          </w:p>
        </w:tc>
        <w:tc>
          <w:tcPr>
            <w:tcW w:w="3150" w:type="dxa"/>
            <w:noWrap w:val="0"/>
            <w:vAlign w:val="center"/>
          </w:tcPr>
          <w:p>
            <w:pPr>
              <w:numPr>
                <w:ilvl w:val="0"/>
                <w:numId w:val="0"/>
              </w:numPr>
              <w:jc w:val="left"/>
              <w:rPr>
                <w:rFonts w:hint="eastAsia" w:ascii="宋体" w:hAnsi="宋体" w:eastAsia="宋体" w:cs="宋体"/>
                <w:color w:val="auto"/>
                <w:sz w:val="21"/>
                <w:szCs w:val="21"/>
                <w:highlight w:val="none"/>
                <w:lang w:val="en-US" w:eastAsia="zh-CN"/>
              </w:rPr>
            </w:pPr>
          </w:p>
        </w:tc>
      </w:tr>
    </w:tbl>
    <w:p>
      <w:pPr>
        <w:pStyle w:val="8"/>
        <w:rPr>
          <w:rFonts w:hint="eastAsia" w:ascii="宋体" w:hAnsi="宋体" w:eastAsia="宋体" w:cs="宋体"/>
          <w:color w:val="auto"/>
          <w:szCs w:val="21"/>
          <w:highlight w:val="none"/>
          <w:lang w:eastAsia="zh-CN"/>
        </w:rPr>
      </w:pPr>
    </w:p>
    <w:p>
      <w:pPr>
        <w:pStyle w:val="6"/>
        <w:numPr>
          <w:ilvl w:val="0"/>
          <w:numId w:val="0"/>
        </w:numPr>
        <w:ind w:leftChars="0"/>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highlight w:val="none"/>
          <w:lang w:val="en-US" w:eastAsia="zh-CN"/>
        </w:rPr>
        <w:t>报价为含值税价（含 3%专用发票），若报价为含13%专用发票请说明。</w:t>
      </w:r>
    </w:p>
    <w:p>
      <w:pPr>
        <w:pStyle w:val="6"/>
        <w:rPr>
          <w:rFonts w:hint="eastAsia" w:ascii="宋体" w:hAnsi="宋体" w:cs="宋体"/>
          <w:b/>
          <w:bCs/>
          <w:color w:val="auto"/>
          <w:sz w:val="21"/>
          <w:szCs w:val="21"/>
          <w:highlight w:val="none"/>
          <w:lang w:val="en-US" w:eastAsia="zh-CN"/>
        </w:rPr>
      </w:pPr>
    </w:p>
    <w:p>
      <w:pPr>
        <w:spacing w:line="500" w:lineRule="exact"/>
        <w:ind w:firstLine="436" w:firstLineChars="200"/>
        <w:rPr>
          <w:color w:val="auto"/>
          <w:spacing w:val="4"/>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pacing w:line="520" w:lineRule="exact"/>
        <w:rPr>
          <w:rFonts w:ascii="宋体" w:hAnsi="宋体"/>
          <w:b/>
          <w:bCs/>
          <w:color w:val="auto"/>
          <w:sz w:val="28"/>
          <w:highlight w:val="non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spacing w:line="400" w:lineRule="exact"/>
        <w:ind w:right="279" w:rightChars="133"/>
        <w:rPr>
          <w:rFonts w:ascii="宋体" w:hAnsi="宋体"/>
          <w:b/>
          <w:bCs/>
          <w:color w:val="auto"/>
          <w:szCs w:val="21"/>
          <w:highlight w:val="none"/>
        </w:rPr>
      </w:pPr>
      <w:r>
        <w:rPr>
          <w:rFonts w:hint="eastAsia" w:ascii="宋体" w:hAnsi="宋体"/>
          <w:b/>
          <w:bCs/>
          <w:color w:val="auto"/>
          <w:szCs w:val="21"/>
          <w:highlight w:val="none"/>
        </w:rPr>
        <w:t>备注：</w:t>
      </w:r>
    </w:p>
    <w:p>
      <w:pPr>
        <w:numPr>
          <w:ilvl w:val="1"/>
          <w:numId w:val="14"/>
        </w:numPr>
        <w:tabs>
          <w:tab w:val="left" w:pos="360"/>
          <w:tab w:val="clear" w:pos="1620"/>
        </w:tabs>
        <w:snapToGrid w:val="0"/>
        <w:spacing w:line="360" w:lineRule="auto"/>
        <w:ind w:left="360" w:right="279" w:rightChars="133"/>
        <w:rPr>
          <w:rFonts w:ascii="宋体" w:hAnsi="宋体"/>
          <w:b/>
          <w:bCs/>
          <w:color w:val="auto"/>
          <w:szCs w:val="21"/>
          <w:highlight w:val="none"/>
        </w:rPr>
      </w:pPr>
      <w:r>
        <w:rPr>
          <w:b/>
          <w:color w:val="auto"/>
          <w:highlight w:val="none"/>
        </w:rPr>
        <w:t>此表须附在正、副本的投标文件中，并另封装一份于开标小信封中</w:t>
      </w:r>
      <w:r>
        <w:rPr>
          <w:rFonts w:hint="eastAsia"/>
          <w:b/>
          <w:color w:val="auto"/>
          <w:highlight w:val="none"/>
        </w:rPr>
        <w:t>。</w:t>
      </w:r>
    </w:p>
    <w:p>
      <w:pPr>
        <w:numPr>
          <w:ilvl w:val="1"/>
          <w:numId w:val="14"/>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除招标文件另有规定外，投标文件内不得含有任何对本报价进行价格折扣的说明或资料，否则为无效投标。</w:t>
      </w:r>
    </w:p>
    <w:p>
      <w:pPr>
        <w:numPr>
          <w:ilvl w:val="1"/>
          <w:numId w:val="14"/>
        </w:numPr>
        <w:tabs>
          <w:tab w:val="left" w:pos="360"/>
          <w:tab w:val="clear" w:pos="1620"/>
        </w:tabs>
        <w:snapToGrid w:val="0"/>
        <w:spacing w:line="360" w:lineRule="auto"/>
        <w:ind w:left="360" w:right="279" w:rightChars="133"/>
        <w:rPr>
          <w:b/>
          <w:color w:val="auto"/>
          <w:highlight w:val="none"/>
        </w:rPr>
      </w:pPr>
      <w:r>
        <w:rPr>
          <w:rFonts w:hint="eastAsia"/>
          <w:b/>
          <w:color w:val="auto"/>
          <w:highlight w:val="none"/>
        </w:rPr>
        <w:t>投标报价要求具体见用户需求要求。</w:t>
      </w:r>
    </w:p>
    <w:p>
      <w:pPr>
        <w:numPr>
          <w:ilvl w:val="0"/>
          <w:numId w:val="0"/>
        </w:numPr>
        <w:snapToGrid w:val="0"/>
        <w:spacing w:line="360" w:lineRule="auto"/>
        <w:ind w:leftChars="0"/>
        <w:rPr>
          <w:rFonts w:ascii="宋体" w:hAnsi="宋体"/>
          <w:color w:val="auto"/>
          <w:sz w:val="21"/>
          <w:szCs w:val="21"/>
          <w:highlight w:val="none"/>
        </w:rPr>
      </w:pPr>
      <w:r>
        <w:rPr>
          <w:color w:val="auto"/>
          <w:highlight w:val="none"/>
        </w:rPr>
        <w:br w:type="page"/>
      </w:r>
      <w:bookmarkEnd w:id="20"/>
      <w:bookmarkEnd w:id="21"/>
    </w:p>
    <w:p>
      <w:pPr>
        <w:pStyle w:val="2"/>
        <w:spacing w:before="120" w:beforeLines="50" w:after="120" w:afterLines="50" w:line="360" w:lineRule="auto"/>
        <w:jc w:val="center"/>
        <w:rPr>
          <w:rFonts w:ascii="宋体" w:hAnsi="宋体" w:cs="宋体"/>
          <w:b w:val="0"/>
          <w:color w:val="auto"/>
          <w:highlight w:val="none"/>
        </w:rPr>
      </w:pPr>
      <w:r>
        <w:rPr>
          <w:rFonts w:hint="eastAsia"/>
          <w:b w:val="0"/>
          <w:color w:val="auto"/>
          <w:highlight w:val="none"/>
        </w:rPr>
        <w:t>实质性响应一览表</w:t>
      </w:r>
    </w:p>
    <w:p>
      <w:pPr>
        <w:spacing w:line="400" w:lineRule="exact"/>
        <w:ind w:left="945" w:leftChars="100" w:hanging="735" w:hangingChars="350"/>
        <w:rPr>
          <w:rFonts w:hint="default" w:ascii="宋体" w:hAnsi="宋体" w:eastAsia="宋体"/>
          <w:color w:val="auto"/>
          <w:highlight w:val="none"/>
          <w:lang w:val="en-US" w:eastAsia="zh-CN"/>
        </w:rPr>
      </w:pPr>
      <w:r>
        <w:rPr>
          <w:rFonts w:hint="eastAsia" w:ascii="宋体" w:hAnsi="宋体"/>
          <w:color w:val="auto"/>
          <w:highlight w:val="none"/>
        </w:rPr>
        <w:t>说明：投标人必须对应招标文件</w:t>
      </w:r>
      <w:r>
        <w:rPr>
          <w:rFonts w:hint="eastAsia"/>
          <w:color w:val="auto"/>
          <w:highlight w:val="none"/>
        </w:rPr>
        <w:t>带“</w:t>
      </w:r>
      <w:r>
        <w:rPr>
          <w:rFonts w:hint="eastAsia" w:ascii="宋体"/>
          <w:b/>
          <w:bCs/>
          <w:color w:val="auto"/>
          <w:szCs w:val="20"/>
          <w:highlight w:val="none"/>
        </w:rPr>
        <w:t>★</w:t>
      </w:r>
      <w:r>
        <w:rPr>
          <w:rFonts w:hint="eastAsia"/>
          <w:color w:val="auto"/>
          <w:highlight w:val="none"/>
        </w:rPr>
        <w:t>”的</w:t>
      </w:r>
      <w:r>
        <w:rPr>
          <w:rFonts w:hint="eastAsia" w:ascii="宋体" w:hAnsi="宋体"/>
          <w:color w:val="auto"/>
          <w:highlight w:val="none"/>
        </w:rPr>
        <w:t>实质性条款逐条应答并按要求填写下表。</w:t>
      </w:r>
      <w:r>
        <w:rPr>
          <w:rFonts w:hint="eastAsia" w:ascii="宋体" w:hAnsi="宋体"/>
          <w:color w:val="auto"/>
          <w:highlight w:val="none"/>
          <w:lang w:val="en-US" w:eastAsia="zh-CN"/>
        </w:rPr>
        <w:t xml:space="preserve">                                 </w:t>
      </w:r>
    </w:p>
    <w:p>
      <w:pPr>
        <w:widowControl/>
        <w:wordWrap w:val="0"/>
        <w:spacing w:line="360" w:lineRule="auto"/>
        <w:jc w:val="left"/>
        <w:rPr>
          <w:rFonts w:ascii="宋体" w:hAnsi="宋体"/>
          <w:color w:val="auto"/>
          <w:highlight w:val="none"/>
        </w:rPr>
      </w:pP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椰林海鲜码头产业园项目第三方检测监测服务 </w:t>
      </w:r>
    </w:p>
    <w:p>
      <w:pPr>
        <w:widowControl/>
        <w:wordWrap w:val="0"/>
        <w:spacing w:line="360" w:lineRule="auto"/>
        <w:jc w:val="left"/>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HDZB-GS2024063</w:t>
      </w:r>
    </w:p>
    <w:tbl>
      <w:tblPr>
        <w:tblStyle w:val="22"/>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061"/>
        <w:gridCol w:w="2000"/>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szCs w:val="21"/>
                <w:highlight w:val="none"/>
              </w:rPr>
            </w:pPr>
            <w:r>
              <w:rPr>
                <w:rFonts w:hint="eastAsia" w:ascii="宋体" w:hAnsi="宋体"/>
                <w:b w:val="0"/>
                <w:bCs w:val="0"/>
                <w:color w:val="auto"/>
                <w:highlight w:val="none"/>
              </w:rPr>
              <w:t>序号</w:t>
            </w:r>
          </w:p>
        </w:tc>
        <w:tc>
          <w:tcPr>
            <w:tcW w:w="306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b w:val="0"/>
                <w:bCs w:val="0"/>
                <w:color w:val="auto"/>
                <w:highlight w:val="none"/>
              </w:rPr>
            </w:pPr>
            <w:r>
              <w:rPr>
                <w:rFonts w:hint="eastAsia" w:ascii="宋体" w:hAnsi="宋体"/>
                <w:b w:val="0"/>
                <w:bCs w:val="0"/>
                <w:color w:val="auto"/>
                <w:highlight w:val="none"/>
              </w:rPr>
              <w:t>招标文件条款描述</w:t>
            </w:r>
          </w:p>
        </w:tc>
        <w:tc>
          <w:tcPr>
            <w:tcW w:w="200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投标人响应描述</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偏离情况说明</w:t>
            </w:r>
          </w:p>
          <w:p>
            <w:pPr>
              <w:ind w:left="-90" w:leftChars="-43" w:right="-80" w:rightChars="-38"/>
              <w:jc w:val="center"/>
              <w:rPr>
                <w:rFonts w:ascii="宋体" w:hAnsi="宋体"/>
                <w:color w:val="auto"/>
                <w:highlight w:val="none"/>
              </w:rPr>
            </w:pPr>
            <w:r>
              <w:rPr>
                <w:rFonts w:hint="eastAsia" w:ascii="宋体" w:hAnsi="宋体"/>
                <w:color w:val="auto"/>
                <w:highlight w:val="none"/>
              </w:rPr>
              <w:t>（</w:t>
            </w:r>
            <w:r>
              <w:rPr>
                <w:rFonts w:hint="eastAsia"/>
                <w:color w:val="auto"/>
                <w:highlight w:val="none"/>
              </w:rPr>
              <w:t>正偏离/完全响应/负偏离</w:t>
            </w:r>
            <w:r>
              <w:rPr>
                <w:rFonts w:hint="eastAsia" w:ascii="宋体" w:hAnsi="宋体"/>
                <w:color w:val="auto"/>
                <w:highlight w:val="none"/>
              </w:rPr>
              <w:t>）</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numPr>
                <w:ilvl w:val="0"/>
                <w:numId w:val="15"/>
              </w:numPr>
              <w:ind w:left="-38" w:leftChars="0" w:firstLineChars="0"/>
              <w:jc w:val="both"/>
              <w:rPr>
                <w:rFonts w:ascii="宋体" w:hAnsi="宋体"/>
                <w:color w:val="auto"/>
                <w:szCs w:val="21"/>
                <w:highlight w:val="none"/>
              </w:rPr>
            </w:pPr>
          </w:p>
        </w:tc>
        <w:tc>
          <w:tcPr>
            <w:tcW w:w="3061" w:type="dxa"/>
            <w:tcBorders>
              <w:top w:val="double" w:color="auto" w:sz="4" w:space="0"/>
              <w:bottom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center"/>
              <w:textAlignment w:val="auto"/>
              <w:rPr>
                <w:rFonts w:ascii="宋体" w:hAnsi="宋体"/>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ascii="宋体" w:hAnsi="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bottom w:val="double" w:color="auto" w:sz="4" w:space="0"/>
            </w:tcBorders>
            <w:vAlign w:val="center"/>
          </w:tcPr>
          <w:p>
            <w:pPr>
              <w:ind w:left="-78" w:leftChars="-37" w:right="-80" w:rightChars="-38"/>
              <w:jc w:val="both"/>
              <w:rPr>
                <w:rFonts w:hint="eastAsia" w:ascii="宋体" w:hAnsi="宋体" w:eastAsia="宋体"/>
                <w:b w:val="0"/>
                <w:bCs w:val="0"/>
                <w:color w:val="auto"/>
                <w:highlight w:val="none"/>
                <w:lang w:val="en-US" w:eastAsia="zh-CN"/>
              </w:rPr>
            </w:pPr>
            <w:r>
              <w:rPr>
                <w:rFonts w:hint="eastAsia" w:ascii="宋体" w:hAnsi="宋体"/>
                <w:b w:val="0"/>
                <w:bCs w:val="0"/>
                <w:color w:val="auto"/>
                <w:highlight w:val="none"/>
                <w:lang w:val="en-US" w:eastAsia="zh-CN"/>
              </w:rPr>
              <w:t>2</w:t>
            </w:r>
          </w:p>
        </w:tc>
        <w:tc>
          <w:tcPr>
            <w:tcW w:w="3061" w:type="dxa"/>
            <w:tcBorders>
              <w:top w:val="double" w:color="auto" w:sz="4" w:space="0"/>
              <w:bottom w:val="double" w:color="auto" w:sz="4" w:space="0"/>
            </w:tcBorders>
            <w:vAlign w:val="center"/>
          </w:tcPr>
          <w:p>
            <w:pPr>
              <w:ind w:left="-78" w:leftChars="-37" w:right="-80" w:rightChars="-38"/>
              <w:jc w:val="center"/>
              <w:rPr>
                <w:rFonts w:hint="eastAsia" w:ascii="宋体" w:hAnsi="宋体"/>
                <w:b w:val="0"/>
                <w:bCs w:val="0"/>
                <w:color w:val="auto"/>
                <w:highlight w:val="none"/>
              </w:rPr>
            </w:pPr>
          </w:p>
        </w:tc>
        <w:tc>
          <w:tcPr>
            <w:tcW w:w="2000" w:type="dxa"/>
            <w:tcBorders>
              <w:top w:val="double" w:color="auto" w:sz="4" w:space="0"/>
              <w:bottom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bottom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bottom w:val="double" w:color="auto" w:sz="4" w:space="0"/>
            </w:tcBorders>
            <w:vAlign w:val="center"/>
          </w:tcPr>
          <w:p>
            <w:pPr>
              <w:ind w:left="-78" w:leftChars="-37" w:right="-80" w:rightChars="-38"/>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6" w:type="dxa"/>
            <w:tcBorders>
              <w:top w:val="double" w:color="auto" w:sz="4" w:space="0"/>
            </w:tcBorders>
            <w:vAlign w:val="center"/>
          </w:tcPr>
          <w:p>
            <w:pPr>
              <w:numPr>
                <w:ilvl w:val="0"/>
                <w:numId w:val="0"/>
              </w:numPr>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c>
          <w:tcPr>
            <w:tcW w:w="3061" w:type="dxa"/>
            <w:tcBorders>
              <w:top w:val="double" w:color="auto" w:sz="4" w:space="0"/>
            </w:tcBorders>
            <w:vAlign w:val="center"/>
          </w:tcPr>
          <w:p>
            <w:pPr>
              <w:pStyle w:val="37"/>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ascii="宋体" w:hAnsi="宋体"/>
                <w:color w:val="auto"/>
                <w:highlight w:val="none"/>
              </w:rPr>
            </w:pPr>
          </w:p>
        </w:tc>
        <w:tc>
          <w:tcPr>
            <w:tcW w:w="2000" w:type="dxa"/>
            <w:tcBorders>
              <w:top w:val="double" w:color="auto" w:sz="4" w:space="0"/>
            </w:tcBorders>
            <w:vAlign w:val="center"/>
          </w:tcPr>
          <w:p>
            <w:pPr>
              <w:ind w:left="-78" w:leftChars="-37" w:right="-80" w:rightChars="-38"/>
              <w:jc w:val="center"/>
              <w:rPr>
                <w:rFonts w:ascii="宋体" w:hAnsi="宋体"/>
                <w:color w:val="auto"/>
                <w:highlight w:val="none"/>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color w:val="auto"/>
                <w:highlight w:val="none"/>
              </w:rPr>
            </w:pPr>
          </w:p>
        </w:tc>
        <w:tc>
          <w:tcPr>
            <w:tcW w:w="1440" w:type="dxa"/>
            <w:tcBorders>
              <w:top w:val="double" w:color="auto" w:sz="4" w:space="0"/>
              <w:left w:val="single" w:color="auto" w:sz="2" w:space="0"/>
            </w:tcBorders>
            <w:vAlign w:val="center"/>
          </w:tcPr>
          <w:p>
            <w:pPr>
              <w:ind w:left="-78" w:leftChars="-37" w:right="-80" w:rightChars="-38"/>
              <w:jc w:val="center"/>
              <w:rPr>
                <w:rFonts w:hint="eastAsia" w:ascii="宋体" w:hAnsi="宋体" w:cs="宋体"/>
                <w:color w:val="auto"/>
                <w:szCs w:val="21"/>
                <w:highlight w:val="none"/>
              </w:rPr>
            </w:pPr>
          </w:p>
        </w:tc>
      </w:tr>
    </w:tbl>
    <w:p>
      <w:pPr>
        <w:adjustRightInd w:val="0"/>
        <w:snapToGrid w:val="0"/>
        <w:spacing w:line="460" w:lineRule="exact"/>
        <w:ind w:left="825" w:leftChars="107" w:hanging="600" w:hangingChars="286"/>
        <w:rPr>
          <w:rFonts w:ascii="宋体" w:hAnsi="宋体"/>
          <w:color w:val="auto"/>
          <w:szCs w:val="21"/>
          <w:highlight w:val="none"/>
        </w:rPr>
      </w:pPr>
      <w:r>
        <w:rPr>
          <w:rFonts w:hint="eastAsia" w:ascii="宋体" w:hAnsi="宋体"/>
          <w:color w:val="auto"/>
          <w:szCs w:val="21"/>
          <w:highlight w:val="none"/>
        </w:rPr>
        <w:t>备注：</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1、本表中“招标文件条款描述”的条款与用户需求中的条款描述不一致的以用户需求中规定的为准。</w:t>
      </w:r>
    </w:p>
    <w:p>
      <w:pPr>
        <w:adjustRightInd w:val="0"/>
        <w:snapToGrid w:val="0"/>
        <w:spacing w:line="460" w:lineRule="exact"/>
        <w:ind w:left="225" w:leftChars="107"/>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highlight w:val="none"/>
        </w:rPr>
        <w:t>投标人必须按招标文件要求提供相关文件，</w:t>
      </w:r>
      <w:r>
        <w:rPr>
          <w:rFonts w:hint="eastAsia" w:ascii="宋体" w:hAnsi="宋体"/>
          <w:b/>
          <w:bCs/>
          <w:color w:val="auto"/>
          <w:highlight w:val="none"/>
        </w:rPr>
        <w:t>如有任何一条未响应或不满足，按无效投标处理</w:t>
      </w:r>
      <w:r>
        <w:rPr>
          <w:rFonts w:hint="eastAsia" w:ascii="宋体" w:hAnsi="宋体"/>
          <w:color w:val="auto"/>
          <w:szCs w:val="21"/>
          <w:highlight w:val="none"/>
        </w:rPr>
        <w:t>。</w:t>
      </w:r>
    </w:p>
    <w:p>
      <w:pPr>
        <w:widowControl/>
        <w:wordWrap w:val="0"/>
        <w:spacing w:line="360" w:lineRule="auto"/>
        <w:jc w:val="left"/>
        <w:rPr>
          <w:rFonts w:ascii="宋体" w:hAnsi="宋体"/>
          <w:color w:val="auto"/>
          <w:highlight w:val="none"/>
        </w:rPr>
      </w:pPr>
    </w:p>
    <w:p>
      <w:pPr>
        <w:widowControl/>
        <w:wordWrap w:val="0"/>
        <w:spacing w:line="360" w:lineRule="auto"/>
        <w:jc w:val="lef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ind w:right="279" w:rightChars="133" w:firstLine="436" w:firstLineChars="200"/>
        <w:rPr>
          <w:color w:val="auto"/>
          <w:spacing w:val="4"/>
          <w:highlight w:val="none"/>
        </w:rPr>
      </w:pPr>
    </w:p>
    <w:p>
      <w:pPr>
        <w:spacing w:line="440" w:lineRule="exact"/>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jc w:val="center"/>
        <w:rPr>
          <w:rFonts w:ascii="宋体" w:hAnsi="宋体" w:cs="宋体"/>
          <w:b w:val="0"/>
          <w:color w:val="auto"/>
          <w:highlight w:val="none"/>
        </w:rPr>
      </w:pPr>
      <w:r>
        <w:rPr>
          <w:color w:val="auto"/>
          <w:spacing w:val="4"/>
          <w:highlight w:val="none"/>
          <w:u w:val="single"/>
        </w:rPr>
        <w:br w:type="page"/>
      </w:r>
      <w:r>
        <w:rPr>
          <w:rFonts w:hint="eastAsia"/>
          <w:b/>
          <w:bCs/>
          <w:color w:val="auto"/>
          <w:sz w:val="36"/>
          <w:szCs w:val="36"/>
          <w:highlight w:val="none"/>
        </w:rPr>
        <w:t>投标人基本情况表</w:t>
      </w:r>
    </w:p>
    <w:p>
      <w:pPr>
        <w:numPr>
          <w:ilvl w:val="0"/>
          <w:numId w:val="16"/>
        </w:numPr>
        <w:spacing w:line="360" w:lineRule="auto"/>
        <w:rPr>
          <w:rFonts w:ascii="宋体" w:hAnsi="宋体" w:cs="宋体"/>
          <w:color w:val="auto"/>
          <w:szCs w:val="21"/>
          <w:highlight w:val="none"/>
        </w:rPr>
      </w:pPr>
      <w:r>
        <w:rPr>
          <w:rFonts w:hint="eastAsia" w:ascii="宋体" w:hAnsi="宋体" w:cs="宋体"/>
          <w:color w:val="auto"/>
          <w:szCs w:val="21"/>
          <w:highlight w:val="none"/>
        </w:rPr>
        <w:t>公司基本情况</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公司名称：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u w:val="single"/>
        </w:rPr>
      </w:pPr>
      <w:r>
        <w:rPr>
          <w:rFonts w:hint="eastAsia" w:ascii="宋体" w:hAnsi="宋体" w:cs="宋体"/>
          <w:color w:val="auto"/>
          <w:szCs w:val="21"/>
          <w:highlight w:val="none"/>
        </w:rPr>
        <w:t>注册资金：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经济性质：</w:t>
      </w:r>
      <w:r>
        <w:rPr>
          <w:rFonts w:hint="eastAsia" w:ascii="宋体" w:hAnsi="宋体" w:cs="宋体"/>
          <w:color w:val="auto"/>
          <w:szCs w:val="21"/>
          <w:highlight w:val="none"/>
          <w:u w:val="single"/>
        </w:rPr>
        <w:t xml:space="preserve">              </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公司开户银行名称及账号：     </w:t>
      </w:r>
    </w:p>
    <w:p>
      <w:pPr>
        <w:numPr>
          <w:ilvl w:val="1"/>
          <w:numId w:val="16"/>
        </w:numPr>
        <w:tabs>
          <w:tab w:val="left" w:pos="420"/>
          <w:tab w:val="clear" w:pos="840"/>
        </w:tabs>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营业注册执照号：   </w:t>
      </w:r>
    </w:p>
    <w:p>
      <w:pPr>
        <w:numPr>
          <w:ilvl w:val="1"/>
          <w:numId w:val="16"/>
        </w:numPr>
        <w:tabs>
          <w:tab w:val="left" w:pos="420"/>
          <w:tab w:val="clear" w:pos="840"/>
        </w:tabs>
        <w:spacing w:line="360" w:lineRule="auto"/>
        <w:ind w:left="420" w:right="279" w:rightChars="133"/>
        <w:rPr>
          <w:rFonts w:ascii="宋体" w:hAnsi="宋体" w:cs="宋体"/>
          <w:color w:val="auto"/>
          <w:szCs w:val="21"/>
          <w:highlight w:val="none"/>
        </w:rPr>
      </w:pPr>
      <w:r>
        <w:rPr>
          <w:rFonts w:hint="eastAsia" w:ascii="宋体" w:hAnsi="宋体" w:cs="宋体"/>
          <w:color w:val="auto"/>
          <w:szCs w:val="21"/>
          <w:highlight w:val="none"/>
        </w:rPr>
        <w:t>公司简介</w:t>
      </w:r>
    </w:p>
    <w:p>
      <w:pPr>
        <w:spacing w:line="360" w:lineRule="auto"/>
        <w:ind w:left="360" w:right="279" w:rightChars="133"/>
        <w:rPr>
          <w:rFonts w:ascii="宋体" w:hAnsi="宋体" w:cs="宋体"/>
          <w:color w:val="auto"/>
          <w:szCs w:val="21"/>
          <w:highlight w:val="none"/>
        </w:rPr>
      </w:pPr>
      <w:r>
        <w:rPr>
          <w:rFonts w:hint="eastAsia" w:ascii="宋体" w:hAnsi="宋体" w:cs="宋体"/>
          <w:color w:val="auto"/>
          <w:szCs w:val="21"/>
          <w:highlight w:val="none"/>
        </w:rPr>
        <w:t>文字描述：</w:t>
      </w:r>
      <w:r>
        <w:rPr>
          <w:rFonts w:hint="eastAsia" w:ascii="宋体" w:hAnsi="宋体" w:cs="宋体"/>
          <w:bCs/>
          <w:color w:val="auto"/>
          <w:szCs w:val="21"/>
          <w:highlight w:val="none"/>
          <w:lang w:val="en-GB"/>
        </w:rPr>
        <w:t>发展历程、经营规模及服务理念</w:t>
      </w:r>
      <w:r>
        <w:rPr>
          <w:rFonts w:hint="eastAsia" w:ascii="宋体" w:hAnsi="宋体" w:cs="宋体"/>
          <w:color w:val="auto"/>
          <w:szCs w:val="21"/>
          <w:highlight w:val="none"/>
        </w:rPr>
        <w:t>、技术力量、财务状况、管理水平等方面进行阐述。</w:t>
      </w:r>
    </w:p>
    <w:p>
      <w:pPr>
        <w:numPr>
          <w:ilvl w:val="0"/>
          <w:numId w:val="16"/>
        </w:numPr>
        <w:spacing w:line="360" w:lineRule="auto"/>
        <w:ind w:right="279" w:rightChars="133"/>
        <w:rPr>
          <w:rFonts w:ascii="宋体" w:hAnsi="宋体" w:cs="宋体"/>
          <w:color w:val="auto"/>
          <w:szCs w:val="21"/>
          <w:highlight w:val="none"/>
        </w:rPr>
      </w:pPr>
      <w:r>
        <w:rPr>
          <w:rFonts w:hint="eastAsia" w:ascii="宋体" w:hAnsi="宋体" w:cs="宋体"/>
          <w:color w:val="auto"/>
          <w:szCs w:val="21"/>
          <w:highlight w:val="none"/>
        </w:rPr>
        <w:t>投标人获得国家有关部门颁发的资质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tbl>
      <w:tblPr>
        <w:tblStyle w:val="22"/>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295"/>
        <w:gridCol w:w="180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91" w:type="dxa"/>
            <w:tcBorders>
              <w:top w:val="single" w:color="auto" w:sz="12" w:space="0"/>
              <w:lef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229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发证单位</w:t>
            </w:r>
          </w:p>
        </w:tc>
        <w:tc>
          <w:tcPr>
            <w:tcW w:w="1805" w:type="dxa"/>
            <w:tcBorders>
              <w:top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证书等级</w:t>
            </w:r>
          </w:p>
        </w:tc>
        <w:tc>
          <w:tcPr>
            <w:tcW w:w="2239" w:type="dxa"/>
            <w:tcBorders>
              <w:top w:val="single" w:color="auto" w:sz="12" w:space="0"/>
              <w:right w:val="single" w:color="auto" w:sz="12" w:space="0"/>
            </w:tcBorders>
          </w:tcPr>
          <w:p>
            <w:pPr>
              <w:jc w:val="center"/>
              <w:rPr>
                <w:rFonts w:ascii="宋体" w:hAnsi="宋体" w:cs="宋体"/>
                <w:color w:val="auto"/>
                <w:szCs w:val="21"/>
                <w:highlight w:val="none"/>
              </w:rPr>
            </w:pPr>
            <w:r>
              <w:rPr>
                <w:rFonts w:hint="eastAsia" w:ascii="宋体" w:hAnsi="宋体" w:cs="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tcBorders>
          </w:tcPr>
          <w:p>
            <w:pPr>
              <w:spacing w:line="360" w:lineRule="auto"/>
              <w:jc w:val="center"/>
              <w:rPr>
                <w:rFonts w:ascii="宋体" w:hAnsi="宋体" w:cs="宋体"/>
                <w:color w:val="auto"/>
                <w:szCs w:val="21"/>
                <w:highlight w:val="none"/>
              </w:rPr>
            </w:pPr>
          </w:p>
        </w:tc>
        <w:tc>
          <w:tcPr>
            <w:tcW w:w="2295" w:type="dxa"/>
          </w:tcPr>
          <w:p>
            <w:pPr>
              <w:spacing w:line="360" w:lineRule="auto"/>
              <w:jc w:val="center"/>
              <w:rPr>
                <w:rFonts w:ascii="宋体" w:hAnsi="宋体" w:cs="宋体"/>
                <w:color w:val="auto"/>
                <w:szCs w:val="21"/>
                <w:highlight w:val="none"/>
              </w:rPr>
            </w:pPr>
          </w:p>
        </w:tc>
        <w:tc>
          <w:tcPr>
            <w:tcW w:w="1805" w:type="dxa"/>
          </w:tcPr>
          <w:p>
            <w:pPr>
              <w:spacing w:line="360" w:lineRule="auto"/>
              <w:jc w:val="center"/>
              <w:rPr>
                <w:rFonts w:ascii="宋体" w:hAnsi="宋体" w:cs="宋体"/>
                <w:color w:val="auto"/>
                <w:szCs w:val="21"/>
                <w:highlight w:val="none"/>
              </w:rPr>
            </w:pPr>
          </w:p>
        </w:tc>
        <w:tc>
          <w:tcPr>
            <w:tcW w:w="2239" w:type="dxa"/>
            <w:tcBorders>
              <w:right w:val="single" w:color="auto" w:sz="12" w:space="0"/>
            </w:tcBorders>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91" w:type="dxa"/>
            <w:tcBorders>
              <w:left w:val="single" w:color="auto" w:sz="12" w:space="0"/>
              <w:bottom w:val="single" w:color="auto" w:sz="12" w:space="0"/>
            </w:tcBorders>
          </w:tcPr>
          <w:p>
            <w:pPr>
              <w:spacing w:line="360" w:lineRule="auto"/>
              <w:jc w:val="center"/>
              <w:rPr>
                <w:rFonts w:ascii="宋体" w:hAnsi="宋体" w:cs="宋体"/>
                <w:color w:val="auto"/>
                <w:szCs w:val="21"/>
                <w:highlight w:val="none"/>
              </w:rPr>
            </w:pPr>
          </w:p>
        </w:tc>
        <w:tc>
          <w:tcPr>
            <w:tcW w:w="2295" w:type="dxa"/>
            <w:tcBorders>
              <w:bottom w:val="single" w:color="auto" w:sz="12" w:space="0"/>
            </w:tcBorders>
          </w:tcPr>
          <w:p>
            <w:pPr>
              <w:spacing w:line="360" w:lineRule="auto"/>
              <w:jc w:val="center"/>
              <w:rPr>
                <w:rFonts w:ascii="宋体" w:hAnsi="宋体" w:cs="宋体"/>
                <w:color w:val="auto"/>
                <w:szCs w:val="21"/>
                <w:highlight w:val="none"/>
              </w:rPr>
            </w:pPr>
          </w:p>
        </w:tc>
        <w:tc>
          <w:tcPr>
            <w:tcW w:w="1805" w:type="dxa"/>
            <w:tcBorders>
              <w:bottom w:val="single" w:color="auto" w:sz="12" w:space="0"/>
            </w:tcBorders>
          </w:tcPr>
          <w:p>
            <w:pPr>
              <w:spacing w:line="360" w:lineRule="auto"/>
              <w:jc w:val="center"/>
              <w:rPr>
                <w:rFonts w:ascii="宋体" w:hAnsi="宋体" w:cs="宋体"/>
                <w:color w:val="auto"/>
                <w:szCs w:val="21"/>
                <w:highlight w:val="none"/>
              </w:rPr>
            </w:pPr>
          </w:p>
        </w:tc>
        <w:tc>
          <w:tcPr>
            <w:tcW w:w="2239" w:type="dxa"/>
            <w:tcBorders>
              <w:bottom w:val="single" w:color="auto" w:sz="12" w:space="0"/>
              <w:right w:val="single" w:color="auto" w:sz="12" w:space="0"/>
            </w:tcBorders>
          </w:tcPr>
          <w:p>
            <w:pPr>
              <w:spacing w:line="360" w:lineRule="auto"/>
              <w:jc w:val="center"/>
              <w:rPr>
                <w:rFonts w:ascii="宋体" w:hAnsi="宋体" w:cs="宋体"/>
                <w:color w:val="auto"/>
                <w:szCs w:val="21"/>
                <w:highlight w:val="none"/>
              </w:rPr>
            </w:pPr>
          </w:p>
        </w:tc>
      </w:tr>
    </w:tbl>
    <w:p>
      <w:pPr>
        <w:adjustRightInd w:val="0"/>
        <w:snapToGrid w:val="0"/>
        <w:spacing w:before="240" w:beforeLines="100" w:line="360" w:lineRule="auto"/>
        <w:rPr>
          <w:rFonts w:ascii="宋体" w:hAnsi="宋体" w:cs="宋体"/>
          <w:color w:val="auto"/>
          <w:szCs w:val="21"/>
          <w:highlight w:val="none"/>
        </w:rPr>
      </w:pPr>
      <w:r>
        <w:rPr>
          <w:rFonts w:hint="eastAsia" w:ascii="宋体" w:hAnsi="宋体" w:cs="宋体"/>
          <w:color w:val="auto"/>
          <w:szCs w:val="21"/>
          <w:highlight w:val="none"/>
        </w:rPr>
        <w:t>我/我们声明以上所述是正确无误的，您有权进行您认为必要的所有调查。</w:t>
      </w:r>
    </w:p>
    <w:p>
      <w:pPr>
        <w:spacing w:line="500" w:lineRule="exact"/>
        <w:ind w:firstLine="420" w:firstLineChars="200"/>
        <w:rPr>
          <w:rFonts w:ascii="宋体" w:hAnsi="宋体" w:cs="宋体"/>
          <w:color w:val="auto"/>
          <w:szCs w:val="21"/>
          <w:highlight w:val="none"/>
        </w:rPr>
      </w:pPr>
    </w:p>
    <w:p>
      <w:pPr>
        <w:spacing w:line="500" w:lineRule="exact"/>
        <w:ind w:firstLine="420" w:firstLineChars="200"/>
        <w:rPr>
          <w:rFonts w:ascii="宋体" w:hAnsi="宋体" w:cs="宋体"/>
          <w:color w:val="auto"/>
          <w:szCs w:val="21"/>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pStyle w:val="2"/>
        <w:spacing w:before="120" w:beforeLines="50" w:after="120" w:afterLines="50" w:line="360" w:lineRule="auto"/>
        <w:jc w:val="center"/>
        <w:rPr>
          <w:b w:val="0"/>
          <w:color w:val="auto"/>
          <w:highlight w:val="none"/>
        </w:rPr>
      </w:pPr>
      <w:r>
        <w:rPr>
          <w:color w:val="auto"/>
          <w:highlight w:val="none"/>
        </w:rPr>
        <w:br w:type="page"/>
      </w:r>
      <w:r>
        <w:rPr>
          <w:rFonts w:hint="eastAsia"/>
          <w:color w:val="auto"/>
          <w:highlight w:val="none"/>
        </w:rPr>
        <w:t>同类项目业绩情况</w:t>
      </w:r>
      <w:r>
        <w:rPr>
          <w:rFonts w:hint="eastAsia"/>
          <w:b w:val="0"/>
          <w:color w:val="auto"/>
          <w:highlight w:val="none"/>
        </w:rPr>
        <w:t>一览表</w:t>
      </w:r>
    </w:p>
    <w:p>
      <w:pPr>
        <w:widowControl/>
        <w:wordWrap w:val="0"/>
        <w:spacing w:line="360" w:lineRule="auto"/>
        <w:jc w:val="left"/>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椰林海鲜码头产业园项目第三方检测监测服务 </w:t>
      </w:r>
    </w:p>
    <w:p>
      <w:pPr>
        <w:widowControl/>
        <w:wordWrap w:val="0"/>
        <w:spacing w:line="360" w:lineRule="auto"/>
        <w:jc w:val="left"/>
        <w:rPr>
          <w:rFonts w:hint="eastAsia" w:ascii="宋体" w:hAnsi="宋体"/>
          <w:color w:val="auto"/>
          <w:highlight w:val="none"/>
          <w:u w:val="none"/>
          <w:lang w:val="en-US" w:eastAsia="zh-CN"/>
        </w:rPr>
      </w:pPr>
      <w:r>
        <w:rPr>
          <w:rFonts w:hint="eastAsia" w:ascii="宋体" w:hAnsi="宋体"/>
          <w:color w:val="auto"/>
          <w:highlight w:val="none"/>
        </w:rPr>
        <w:t>项目编号：</w:t>
      </w:r>
      <w:r>
        <w:rPr>
          <w:rFonts w:hint="eastAsia" w:ascii="宋体" w:hAnsi="宋体"/>
          <w:color w:val="auto"/>
          <w:highlight w:val="none"/>
          <w:u w:val="none"/>
          <w:lang w:val="en-US" w:eastAsia="zh-CN"/>
        </w:rPr>
        <w:t>HDZB-GS2024063</w:t>
      </w:r>
    </w:p>
    <w:p>
      <w:pPr>
        <w:widowControl/>
        <w:wordWrap w:val="0"/>
        <w:spacing w:line="360" w:lineRule="auto"/>
        <w:jc w:val="left"/>
        <w:rPr>
          <w:rFonts w:hint="eastAsia" w:ascii="宋体" w:hAnsi="宋体" w:eastAsia="宋体"/>
          <w:color w:val="auto"/>
          <w:highlight w:val="none"/>
          <w:lang w:eastAsia="zh-CN"/>
        </w:rPr>
      </w:pPr>
    </w:p>
    <w:tbl>
      <w:tblPr>
        <w:tblStyle w:val="22"/>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vAlign w:val="center"/>
          </w:tcPr>
          <w:p>
            <w:pPr>
              <w:adjustRightInd w:val="0"/>
              <w:snapToGrid w:val="0"/>
              <w:ind w:left="-69" w:leftChars="-33" w:right="-97" w:rightChars="-46"/>
              <w:jc w:val="center"/>
              <w:rPr>
                <w:color w:val="auto"/>
                <w:highlight w:val="none"/>
              </w:rPr>
            </w:pPr>
            <w:r>
              <w:rPr>
                <w:rFonts w:hint="eastAsia"/>
                <w:color w:val="auto"/>
                <w:highlight w:val="none"/>
              </w:rPr>
              <w:t>序号</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业主名称</w:t>
            </w:r>
          </w:p>
        </w:tc>
        <w:tc>
          <w:tcPr>
            <w:tcW w:w="133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项目名称</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服务内容</w:t>
            </w:r>
          </w:p>
        </w:tc>
        <w:tc>
          <w:tcPr>
            <w:tcW w:w="126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合同总价</w:t>
            </w:r>
          </w:p>
        </w:tc>
        <w:tc>
          <w:tcPr>
            <w:tcW w:w="1690"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签约及完成时间</w:t>
            </w:r>
          </w:p>
        </w:tc>
        <w:tc>
          <w:tcPr>
            <w:tcW w:w="1239" w:type="dxa"/>
            <w:tcBorders>
              <w:top w:val="single" w:color="auto" w:sz="12" w:space="0"/>
              <w:bottom w:val="double" w:color="auto" w:sz="4" w:space="0"/>
            </w:tcBorders>
            <w:shd w:val="clear" w:color="auto" w:fill="EEECE1"/>
            <w:vAlign w:val="center"/>
          </w:tcPr>
          <w:p>
            <w:pPr>
              <w:adjustRightInd w:val="0"/>
              <w:snapToGrid w:val="0"/>
              <w:jc w:val="center"/>
              <w:rPr>
                <w:color w:val="auto"/>
                <w:highlight w:val="none"/>
              </w:rPr>
            </w:pPr>
            <w:r>
              <w:rPr>
                <w:rFonts w:hint="eastAsia"/>
                <w:color w:val="auto"/>
                <w:highlight w:val="none"/>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33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60" w:type="dxa"/>
            <w:tcBorders>
              <w:top w:val="double" w:color="auto" w:sz="4" w:space="0"/>
            </w:tcBorders>
            <w:vAlign w:val="center"/>
          </w:tcPr>
          <w:p>
            <w:pPr>
              <w:spacing w:line="400" w:lineRule="exact"/>
              <w:jc w:val="center"/>
              <w:rPr>
                <w:color w:val="auto"/>
                <w:highlight w:val="none"/>
              </w:rPr>
            </w:pPr>
          </w:p>
        </w:tc>
        <w:tc>
          <w:tcPr>
            <w:tcW w:w="1690" w:type="dxa"/>
            <w:tcBorders>
              <w:top w:val="double" w:color="auto" w:sz="4" w:space="0"/>
            </w:tcBorders>
            <w:vAlign w:val="center"/>
          </w:tcPr>
          <w:p>
            <w:pPr>
              <w:spacing w:line="400" w:lineRule="exact"/>
              <w:jc w:val="center"/>
              <w:rPr>
                <w:color w:val="auto"/>
                <w:highlight w:val="none"/>
              </w:rPr>
            </w:pPr>
          </w:p>
        </w:tc>
        <w:tc>
          <w:tcPr>
            <w:tcW w:w="1239" w:type="dxa"/>
            <w:tcBorders>
              <w:top w:val="double" w:color="auto" w:sz="4" w:space="0"/>
            </w:tcBorders>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33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60" w:type="dxa"/>
            <w:vAlign w:val="center"/>
          </w:tcPr>
          <w:p>
            <w:pPr>
              <w:spacing w:line="400" w:lineRule="exact"/>
              <w:jc w:val="center"/>
              <w:rPr>
                <w:color w:val="auto"/>
                <w:highlight w:val="none"/>
              </w:rPr>
            </w:pPr>
          </w:p>
        </w:tc>
        <w:tc>
          <w:tcPr>
            <w:tcW w:w="1690" w:type="dxa"/>
            <w:vAlign w:val="center"/>
          </w:tcPr>
          <w:p>
            <w:pPr>
              <w:spacing w:line="400" w:lineRule="exact"/>
              <w:jc w:val="center"/>
              <w:rPr>
                <w:color w:val="auto"/>
                <w:highlight w:val="none"/>
              </w:rPr>
            </w:pPr>
          </w:p>
        </w:tc>
        <w:tc>
          <w:tcPr>
            <w:tcW w:w="1239" w:type="dxa"/>
            <w:vAlign w:val="center"/>
          </w:tcPr>
          <w:p>
            <w:pPr>
              <w:spacing w:line="400" w:lineRule="exact"/>
              <w:jc w:val="center"/>
              <w:rPr>
                <w:color w:val="auto"/>
                <w:highlight w:val="none"/>
              </w:rPr>
            </w:pPr>
          </w:p>
        </w:tc>
      </w:tr>
    </w:tbl>
    <w:p>
      <w:pPr>
        <w:adjustRightInd w:val="0"/>
        <w:snapToGrid w:val="0"/>
        <w:spacing w:line="360" w:lineRule="auto"/>
        <w:ind w:left="620" w:hanging="620" w:hangingChars="294"/>
        <w:rPr>
          <w:b/>
          <w:bCs/>
          <w:color w:val="auto"/>
          <w:highlight w:val="none"/>
        </w:rPr>
      </w:pPr>
    </w:p>
    <w:p>
      <w:pPr>
        <w:adjustRightInd w:val="0"/>
        <w:snapToGrid w:val="0"/>
        <w:spacing w:line="360" w:lineRule="auto"/>
        <w:ind w:left="620" w:hanging="620" w:hangingChars="294"/>
        <w:rPr>
          <w:rFonts w:hint="eastAsia" w:ascii="宋体" w:hAnsi="宋体" w:eastAsia="宋体" w:cs="宋体"/>
          <w:b/>
          <w:color w:val="auto"/>
          <w:sz w:val="25"/>
          <w:szCs w:val="25"/>
          <w:highlight w:val="none"/>
          <w:lang w:val="en-US" w:eastAsia="zh-CN"/>
        </w:rPr>
      </w:pPr>
      <w:r>
        <w:rPr>
          <w:rFonts w:hint="eastAsia"/>
          <w:b/>
          <w:bCs/>
          <w:color w:val="auto"/>
          <w:highlight w:val="none"/>
        </w:rPr>
        <w:t>备注</w:t>
      </w:r>
      <w:r>
        <w:rPr>
          <w:rFonts w:hint="eastAsia"/>
          <w:b/>
          <w:bCs/>
          <w:color w:val="auto"/>
          <w:highlight w:val="none"/>
          <w:lang w:eastAsia="zh-CN"/>
        </w:rPr>
        <w:t>：根据评分要求提供相关证明材料</w:t>
      </w:r>
    </w:p>
    <w:p>
      <w:pPr>
        <w:spacing w:line="500" w:lineRule="exact"/>
        <w:rPr>
          <w:rFonts w:ascii="宋体" w:hAnsi="宋体" w:cs="宋体"/>
          <w:color w:val="auto"/>
          <w:sz w:val="25"/>
          <w:szCs w:val="25"/>
          <w:highlight w:val="none"/>
        </w:rPr>
      </w:pPr>
    </w:p>
    <w:p>
      <w:pPr>
        <w:spacing w:line="500" w:lineRule="exact"/>
        <w:rPr>
          <w:rFonts w:ascii="宋体" w:hAnsi="宋体" w:cs="宋体"/>
          <w:color w:val="auto"/>
          <w:sz w:val="25"/>
          <w:szCs w:val="25"/>
          <w:highlight w:val="none"/>
        </w:rPr>
      </w:pPr>
    </w:p>
    <w:p>
      <w:pPr>
        <w:spacing w:line="500" w:lineRule="exact"/>
        <w:rPr>
          <w:rFonts w:ascii="宋体" w:hAnsi="宋体"/>
          <w:color w:val="auto"/>
          <w:highlight w:val="none"/>
          <w:u w:val="single"/>
        </w:rPr>
      </w:pPr>
      <w:r>
        <w:rPr>
          <w:rFonts w:hint="eastAsia"/>
          <w:color w:val="auto"/>
          <w:spacing w:val="4"/>
          <w:highlight w:val="none"/>
        </w:rPr>
        <w:t>投标人名称（盖公章）：</w:t>
      </w:r>
      <w:r>
        <w:rPr>
          <w:rFonts w:hint="eastAsia"/>
          <w:color w:val="auto"/>
          <w:spacing w:val="4"/>
          <w:highlight w:val="none"/>
          <w:u w:val="single"/>
        </w:rPr>
        <w:t xml:space="preserve">                             </w:t>
      </w:r>
    </w:p>
    <w:p>
      <w:pPr>
        <w:rPr>
          <w:color w:val="auto"/>
          <w:spacing w:val="4"/>
          <w:highlight w:val="none"/>
        </w:rPr>
      </w:pPr>
    </w:p>
    <w:p>
      <w:pPr>
        <w:snapToGrid w:val="0"/>
        <w:spacing w:line="360" w:lineRule="auto"/>
        <w:ind w:right="279" w:rightChars="133"/>
        <w:rPr>
          <w:color w:val="auto"/>
          <w:spacing w:val="4"/>
          <w:highlight w:val="none"/>
          <w:u w:val="single"/>
        </w:rPr>
      </w:pPr>
      <w:r>
        <w:rPr>
          <w:rFonts w:hint="eastAsia" w:ascii="宋体"/>
          <w:color w:val="auto"/>
          <w:highlight w:val="none"/>
        </w:rPr>
        <w:t>法定代表人或</w:t>
      </w:r>
      <w:r>
        <w:rPr>
          <w:rFonts w:hint="eastAsia" w:ascii="宋体" w:hAnsi="宋体"/>
          <w:color w:val="auto"/>
          <w:highlight w:val="none"/>
        </w:rPr>
        <w:t>投标人授权代表（签名或盖章）：</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职务：</w:t>
      </w:r>
      <w:r>
        <w:rPr>
          <w:color w:val="auto"/>
          <w:spacing w:val="4"/>
          <w:highlight w:val="none"/>
          <w:u w:val="single"/>
        </w:rPr>
        <w:t xml:space="preserve">      </w:t>
      </w:r>
      <w:r>
        <w:rPr>
          <w:color w:val="auto"/>
          <w:spacing w:val="4"/>
          <w:highlight w:val="none"/>
        </w:rPr>
        <w:t xml:space="preserve"> </w:t>
      </w:r>
      <w:r>
        <w:rPr>
          <w:rFonts w:hint="eastAsia"/>
          <w:color w:val="auto"/>
          <w:spacing w:val="4"/>
          <w:highlight w:val="none"/>
        </w:rPr>
        <w:t>日期：</w:t>
      </w:r>
      <w:r>
        <w:rPr>
          <w:color w:val="auto"/>
          <w:spacing w:val="4"/>
          <w:highlight w:val="none"/>
          <w:u w:val="single"/>
        </w:rPr>
        <w:t xml:space="preserve">      </w:t>
      </w:r>
    </w:p>
    <w:p>
      <w:pPr>
        <w:widowControl/>
        <w:jc w:val="left"/>
        <w:rPr>
          <w:color w:val="auto"/>
          <w:spacing w:val="4"/>
          <w:highlight w:val="none"/>
          <w:u w:val="single"/>
        </w:rPr>
      </w:pPr>
    </w:p>
    <w:p>
      <w:pPr>
        <w:snapToGrid w:val="0"/>
        <w:spacing w:line="360" w:lineRule="auto"/>
        <w:ind w:right="279" w:rightChars="133"/>
        <w:jc w:val="center"/>
        <w:rPr>
          <w:rFonts w:hint="eastAsia"/>
          <w:b/>
          <w:bCs/>
          <w:color w:val="auto"/>
          <w:sz w:val="28"/>
          <w:szCs w:val="28"/>
          <w:highlight w:val="none"/>
        </w:rPr>
      </w:pPr>
      <w:r>
        <w:rPr>
          <w:b w:val="0"/>
          <w:color w:val="auto"/>
          <w:highlight w:val="none"/>
        </w:rPr>
        <w:br w:type="page"/>
      </w:r>
      <w:bookmarkStart w:id="25" w:name="_Toc435174932"/>
      <w:bookmarkStart w:id="26" w:name="_Toc438223135"/>
      <w:bookmarkStart w:id="27" w:name="_Toc19248"/>
      <w:bookmarkStart w:id="28" w:name="_Toc435516649"/>
      <w:r>
        <w:rPr>
          <w:rFonts w:hint="eastAsia"/>
          <w:b/>
          <w:bCs/>
          <w:color w:val="auto"/>
          <w:sz w:val="28"/>
          <w:szCs w:val="28"/>
          <w:highlight w:val="none"/>
        </w:rPr>
        <w:t xml:space="preserve">第七章 </w:t>
      </w:r>
      <w:r>
        <w:rPr>
          <w:rFonts w:hint="eastAsia"/>
          <w:b/>
          <w:bCs/>
          <w:color w:val="auto"/>
          <w:sz w:val="28"/>
          <w:szCs w:val="28"/>
          <w:highlight w:val="none"/>
          <w:lang w:val="en-US" w:eastAsia="zh-CN"/>
        </w:rPr>
        <w:t>工程量清单及招标控制价</w:t>
      </w:r>
    </w:p>
    <w:tbl>
      <w:tblPr>
        <w:tblStyle w:val="22"/>
        <w:tblpPr w:leftFromText="180" w:rightFromText="180" w:vertAnchor="text" w:horzAnchor="page" w:tblpX="614" w:tblpY="3"/>
        <w:tblOverlap w:val="never"/>
        <w:tblW w:w="1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80" w:type="dxa"/>
            <w:tcBorders>
              <w:top w:val="nil"/>
              <w:left w:val="nil"/>
              <w:bottom w:val="nil"/>
              <w:right w:val="nil"/>
            </w:tcBorders>
            <w:shd w:val="clear" w:color="auto" w:fill="auto"/>
            <w:noWrap/>
            <w:vAlign w:val="center"/>
          </w:tcPr>
          <w:p>
            <w:pPr>
              <w:widowControl/>
              <w:wordWrap w:val="0"/>
              <w:spacing w:line="360" w:lineRule="auto"/>
              <w:jc w:val="left"/>
              <w:rPr>
                <w:rFonts w:hint="eastAsia" w:ascii="宋体" w:hAnsi="宋体"/>
                <w:color w:val="auto"/>
                <w:highlight w:val="none"/>
              </w:rPr>
            </w:pPr>
          </w:p>
        </w:tc>
      </w:tr>
    </w:tbl>
    <w:p>
      <w:pPr>
        <w:widowControl/>
        <w:wordWrap w:val="0"/>
        <w:spacing w:line="360" w:lineRule="auto"/>
        <w:jc w:val="left"/>
        <w:rPr>
          <w:rFonts w:hint="eastAsia" w:ascii="宋体" w:hAnsi="宋体"/>
          <w:color w:val="auto"/>
          <w:highlight w:val="none"/>
          <w:lang w:eastAsia="zh-CN"/>
        </w:rPr>
      </w:pPr>
      <w:r>
        <w:rPr>
          <w:rFonts w:hint="eastAsia" w:ascii="宋体" w:hAnsi="宋体"/>
          <w:color w:val="auto"/>
          <w:highlight w:val="none"/>
        </w:rPr>
        <w:t>项目名称：</w:t>
      </w:r>
      <w:r>
        <w:rPr>
          <w:rFonts w:hint="eastAsia" w:ascii="宋体" w:hAnsi="宋体"/>
          <w:color w:val="auto"/>
          <w:highlight w:val="none"/>
          <w:lang w:eastAsia="zh-CN"/>
        </w:rPr>
        <w:t xml:space="preserve">椰林海鲜码头产业园项目第三方检测监测服务 </w:t>
      </w:r>
    </w:p>
    <w:p>
      <w:pPr>
        <w:widowControl/>
        <w:wordWrap w:val="0"/>
        <w:spacing w:line="360" w:lineRule="auto"/>
        <w:jc w:val="left"/>
        <w:rPr>
          <w:rFonts w:hint="eastAsia" w:ascii="宋体" w:hAnsi="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lang w:val="en-US" w:eastAsia="zh-CN"/>
        </w:rPr>
        <w:t>HDZB-GS2024063</w:t>
      </w:r>
    </w:p>
    <w:p>
      <w:pPr>
        <w:pStyle w:val="2"/>
        <w:rPr>
          <w:rFonts w:hint="default"/>
          <w:color w:val="auto"/>
          <w:sz w:val="21"/>
          <w:szCs w:val="21"/>
          <w:lang w:val="en-US" w:eastAsia="zh-CN"/>
        </w:rPr>
      </w:pPr>
      <w:r>
        <w:rPr>
          <w:rFonts w:hint="eastAsia" w:ascii="宋体" w:hAnsi="宋体" w:eastAsia="宋体" w:cs="宋体"/>
          <w:b w:val="0"/>
          <w:bCs/>
          <w:color w:val="auto"/>
          <w:sz w:val="21"/>
          <w:szCs w:val="21"/>
          <w:lang w:val="en-US" w:eastAsia="zh-CN"/>
        </w:rPr>
        <w:t>注：价格参考粤建检协[2015]8号文关于印发《广东省房屋建筑和市政工程质量安全检测收费指导价(第一批)》和《广东省既有房屋建筑安全性鉴定收费指导价》的通知及当期市场价。</w:t>
      </w:r>
    </w:p>
    <w:tbl>
      <w:tblPr>
        <w:tblStyle w:val="22"/>
        <w:tblW w:w="9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983"/>
        <w:gridCol w:w="1882"/>
        <w:gridCol w:w="2305"/>
        <w:gridCol w:w="832"/>
        <w:gridCol w:w="1418"/>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89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建筑材料工程量清单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6992"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工程名称:椰林海鲜码头产业园项目第三方检测监测服务</w:t>
            </w:r>
          </w:p>
        </w:tc>
        <w:tc>
          <w:tcPr>
            <w:tcW w:w="141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486"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检测类型</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检测项目</w:t>
            </w:r>
          </w:p>
        </w:tc>
        <w:tc>
          <w:tcPr>
            <w:tcW w:w="2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检测内容</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9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见证取样检测</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钢筋（含焊接与机械连接）力学性能检测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钢筋原材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钢筋焊接</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混凝土</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混凝土抗压强度     </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混凝土抗渗</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每增加 1 个等级加收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砼配合比设计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超过 C40 的，每增加一级加收200。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混凝土外加剂</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砂浆</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砂浆抗压强度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普通干混砌筑、地面砂浆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普通干混抹灰砂浆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砂浆配合比设计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新型墙体材料</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蒸压加气砌块（含导热）</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水泥</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水泥物理性能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砂</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砂物理性能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石</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石物理性能</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防水材料</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防水卷材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防水涂料</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给排水材料</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PVC-U排水管材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PVC-U排水管件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PP-R给水管材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PP-R给水管件</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胶粘剂</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阀门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电气材料</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电线</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按每一芯线芯计算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电缆</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小型断路器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漏电断路器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低压断路器</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插座</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面板开关</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电工套管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电线钢导管</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消防材料</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电工套管</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防火门及相关配件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有衬里消防水带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水枪</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室内消火栓</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应急照明灯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疏散指示灯</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建筑节能工程检测</w:t>
            </w:r>
          </w:p>
        </w:tc>
        <w:tc>
          <w:tcPr>
            <w:tcW w:w="18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墙体、地面、屋面节能工程材料及围护结构现场实体检测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墙体材料（抗压强度、密度、导热系数）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屋面保温材料（抗压强度、密度、导热系数）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墙体传热系数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配电与照明节能工程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平均照度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照明功率密度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建筑幕墙门窗工程检测</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铝合金建筑型材</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壁厚、膜厚、韦氏硬度</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建筑门窗三性检测</w:t>
            </w:r>
          </w:p>
        </w:tc>
        <w:tc>
          <w:tcPr>
            <w:tcW w:w="2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气密性、水密性、抗风压性</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5250</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 2.0m×2.0m 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9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结构主体检测</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混凝土结构强度</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钻芯法</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硬化砼氯离子检测（钻芯法）</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氯离子含量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钢筋扫描</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钢筋配置</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保护层厚度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截面尺寸</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截面尺寸</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墙体植筋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抗拔试验</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拌合物氯离子检测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氯离子含量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98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拉结筋试验</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抗拉拔</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地基检测</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低应变法检测</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低应变法检测</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单桩竖向抗压静载试验</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抗压试验</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室内击实试验</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室内击实试验</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最大干密度试验</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最大干密度试验</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密实度检测</w:t>
            </w:r>
          </w:p>
        </w:tc>
        <w:tc>
          <w:tcPr>
            <w:tcW w:w="2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灌砂法</w:t>
            </w:r>
          </w:p>
        </w:tc>
        <w:tc>
          <w:tcPr>
            <w:tcW w:w="8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148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98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建筑装饰装修</w:t>
            </w:r>
          </w:p>
        </w:tc>
        <w:tc>
          <w:tcPr>
            <w:tcW w:w="188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外墙砖</w:t>
            </w:r>
          </w:p>
        </w:tc>
        <w:tc>
          <w:tcPr>
            <w:tcW w:w="230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抗拉拔</w:t>
            </w:r>
          </w:p>
        </w:tc>
        <w:tc>
          <w:tcPr>
            <w:tcW w:w="8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1486"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钢结构检测</w:t>
            </w: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超声波、磁粉、渗透检测焊缝质量</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网架螺栓球焊缝质量</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表面硬度法推定</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钢材抗拉强度</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钢结构防腐涂层厚度</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钢结构防火涂层厚度</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构件</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构件几何尺寸</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截面</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2"/>
                <w:szCs w:val="22"/>
                <w:u w:val="none"/>
              </w:rPr>
            </w:pPr>
          </w:p>
        </w:tc>
        <w:tc>
          <w:tcPr>
            <w:tcW w:w="1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高强度螺栓连接</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副施工扭矩</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节点</w:t>
            </w:r>
          </w:p>
        </w:tc>
        <w:tc>
          <w:tcPr>
            <w:tcW w:w="141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防雷检测</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4"/>
                <w:szCs w:val="24"/>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平方米</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cs="宋体"/>
                <w:b/>
                <w:bCs/>
                <w:i w:val="0"/>
                <w:iCs w:val="0"/>
                <w:color w:val="auto"/>
                <w:kern w:val="0"/>
                <w:sz w:val="22"/>
                <w:szCs w:val="22"/>
                <w:u w:val="none"/>
                <w:lang w:val="en-US" w:eastAsia="zh-CN" w:bidi="ar"/>
              </w:rPr>
              <w:t>柴油发电机性能检测</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auto"/>
                <w:sz w:val="24"/>
                <w:szCs w:val="24"/>
                <w:u w:val="none"/>
              </w:rPr>
            </w:pP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12000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77</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海绵城市建设评估配套检测</w:t>
            </w:r>
          </w:p>
        </w:tc>
        <w:tc>
          <w:tcPr>
            <w:tcW w:w="18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渗透试验检测等 </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auto"/>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bl>
    <w:p>
      <w:pPr>
        <w:pStyle w:val="2"/>
        <w:rPr>
          <w:rFonts w:hint="eastAsia"/>
          <w:color w:val="auto"/>
        </w:rPr>
      </w:pPr>
    </w:p>
    <w:p>
      <w:pPr>
        <w:pStyle w:val="2"/>
        <w:rPr>
          <w:rFonts w:hint="eastAsia"/>
        </w:rPr>
      </w:pPr>
    </w:p>
    <w:p>
      <w:pPr>
        <w:rPr>
          <w:rFonts w:hint="eastAsia"/>
          <w:color w:val="auto"/>
        </w:rPr>
      </w:pPr>
    </w:p>
    <w:tbl>
      <w:tblPr>
        <w:tblStyle w:val="22"/>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80"/>
        <w:gridCol w:w="1380"/>
        <w:gridCol w:w="1380"/>
        <w:gridCol w:w="1200"/>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31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高大支模变形监测清单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15"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工程名称:椰林海鲜码头产业园项目第三方检测监测服务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工程部位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综合单价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（元/次·点）</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监测点安装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首层高支模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二层高支模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六层中空区域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1.10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1.12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监测点监测费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首层高支模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1、监测单位应采用实时监测的自动化措施。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2、监测时间为：混凝土开始浇筑至浇筑施工完成后，且监测数据无持续增大趋势为止。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3、编制高支模监测报告时，按每30分钟提取一次监测数据进行编制，预计提取20次。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二层高支模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六层中空区域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支架位移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2.10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支架沉降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支架轴力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支架倾斜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bl>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numPr>
          <w:ilvl w:val="0"/>
          <w:numId w:val="0"/>
        </w:numPr>
        <w:autoSpaceDE w:val="0"/>
        <w:autoSpaceDN w:val="0"/>
        <w:adjustRightInd w:val="0"/>
        <w:snapToGrid w:val="0"/>
        <w:spacing w:line="360" w:lineRule="auto"/>
        <w:ind w:leftChars="-360" w:firstLine="4216" w:firstLineChars="1500"/>
        <w:jc w:val="both"/>
        <w:outlineLvl w:val="1"/>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第八章</w:t>
      </w:r>
      <w:r>
        <w:rPr>
          <w:rFonts w:hint="eastAsia" w:ascii="宋体" w:hAnsi="宋体"/>
          <w:b/>
          <w:color w:val="auto"/>
          <w:sz w:val="28"/>
          <w:szCs w:val="28"/>
          <w:highlight w:val="none"/>
          <w:lang w:eastAsia="zh-TW"/>
        </w:rPr>
        <w:t xml:space="preserve"> </w:t>
      </w:r>
      <w:r>
        <w:rPr>
          <w:rFonts w:hint="eastAsia" w:ascii="宋体" w:hAnsi="宋体"/>
          <w:b/>
          <w:color w:val="auto"/>
          <w:sz w:val="28"/>
          <w:szCs w:val="28"/>
          <w:highlight w:val="none"/>
          <w:lang w:val="en-US" w:eastAsia="zh-CN"/>
        </w:rPr>
        <w:t>图纸（另册）</w:t>
      </w: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rFonts w:hint="eastAsia"/>
          <w:b/>
          <w:bCs/>
          <w:color w:val="auto"/>
          <w:sz w:val="28"/>
          <w:szCs w:val="28"/>
          <w:highlight w:val="none"/>
          <w:lang w:val="en-US" w:eastAsia="zh-CN"/>
        </w:rPr>
      </w:pPr>
    </w:p>
    <w:p>
      <w:pPr>
        <w:snapToGrid w:val="0"/>
        <w:spacing w:line="360" w:lineRule="auto"/>
        <w:ind w:right="279" w:rightChars="133"/>
        <w:jc w:val="center"/>
        <w:rPr>
          <w:b/>
          <w:bCs/>
          <w:color w:val="auto"/>
          <w:sz w:val="28"/>
          <w:szCs w:val="28"/>
          <w:highlight w:val="none"/>
        </w:rPr>
      </w:pPr>
      <w:r>
        <w:rPr>
          <w:rFonts w:hint="eastAsia"/>
          <w:b/>
          <w:bCs/>
          <w:color w:val="auto"/>
          <w:sz w:val="28"/>
          <w:szCs w:val="28"/>
          <w:highlight w:val="none"/>
          <w:lang w:val="en-US" w:eastAsia="zh-CN"/>
        </w:rPr>
        <w:t xml:space="preserve">第九章 </w:t>
      </w:r>
      <w:r>
        <w:rPr>
          <w:rFonts w:hint="eastAsia"/>
          <w:b/>
          <w:bCs/>
          <w:color w:val="auto"/>
          <w:sz w:val="28"/>
          <w:szCs w:val="28"/>
          <w:highlight w:val="none"/>
        </w:rPr>
        <w:t>投标人须知</w:t>
      </w:r>
      <w:bookmarkEnd w:id="25"/>
      <w:bookmarkEnd w:id="26"/>
      <w:bookmarkEnd w:id="27"/>
      <w:bookmarkEnd w:id="28"/>
    </w:p>
    <w:p>
      <w:pPr>
        <w:numPr>
          <w:ilvl w:val="0"/>
          <w:numId w:val="17"/>
        </w:numPr>
        <w:autoSpaceDE w:val="0"/>
        <w:autoSpaceDN w:val="0"/>
        <w:adjustRightInd w:val="0"/>
        <w:snapToGrid w:val="0"/>
        <w:spacing w:line="360" w:lineRule="auto"/>
        <w:ind w:left="1012" w:hanging="1012" w:hangingChars="360"/>
        <w:jc w:val="center"/>
        <w:outlineLvl w:val="1"/>
        <w:rPr>
          <w:rFonts w:ascii="宋体" w:hAnsi="宋体"/>
          <w:b/>
          <w:color w:val="auto"/>
          <w:sz w:val="28"/>
          <w:szCs w:val="28"/>
          <w:highlight w:val="none"/>
        </w:rPr>
      </w:pPr>
      <w:bookmarkStart w:id="29" w:name="_Toc435516650"/>
      <w:bookmarkStart w:id="30" w:name="_Toc435174933"/>
      <w:bookmarkStart w:id="31" w:name="_Toc438223136"/>
      <w:r>
        <w:rPr>
          <w:rFonts w:ascii="宋体" w:hAnsi="宋体"/>
          <w:b/>
          <w:color w:val="auto"/>
          <w:sz w:val="28"/>
          <w:szCs w:val="28"/>
          <w:highlight w:val="none"/>
          <w:lang w:eastAsia="zh-TW"/>
        </w:rPr>
        <w:t>说 明</w:t>
      </w:r>
      <w:bookmarkEnd w:id="29"/>
      <w:bookmarkEnd w:id="30"/>
      <w:bookmarkEnd w:id="31"/>
      <w:bookmarkStart w:id="32" w:name="_Toc292267791"/>
    </w:p>
    <w:bookmarkEnd w:id="32"/>
    <w:p>
      <w:pPr>
        <w:numPr>
          <w:ilvl w:val="0"/>
          <w:numId w:val="18"/>
        </w:numPr>
        <w:autoSpaceDE w:val="0"/>
        <w:autoSpaceDN w:val="0"/>
        <w:adjustRightInd w:val="0"/>
        <w:snapToGrid w:val="0"/>
        <w:spacing w:line="360" w:lineRule="auto"/>
        <w:outlineLvl w:val="2"/>
        <w:rPr>
          <w:rFonts w:ascii="宋体" w:hAnsi="宋体"/>
          <w:b/>
          <w:bCs/>
          <w:color w:val="auto"/>
          <w:szCs w:val="21"/>
          <w:highlight w:val="none"/>
        </w:rPr>
      </w:pPr>
      <w:r>
        <w:rPr>
          <w:rFonts w:hint="eastAsia" w:ascii="宋体" w:hAnsi="宋体"/>
          <w:b/>
          <w:bCs/>
          <w:color w:val="auto"/>
          <w:szCs w:val="21"/>
          <w:highlight w:val="none"/>
        </w:rPr>
        <w:t>适用范围</w:t>
      </w:r>
    </w:p>
    <w:p>
      <w:pPr>
        <w:numPr>
          <w:ilvl w:val="1"/>
          <w:numId w:val="18"/>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本招标文件适用于本投标邀请中所述项目的招标采购。</w:t>
      </w:r>
    </w:p>
    <w:p>
      <w:pPr>
        <w:numPr>
          <w:ilvl w:val="0"/>
          <w:numId w:val="18"/>
        </w:numPr>
        <w:autoSpaceDE w:val="0"/>
        <w:autoSpaceDN w:val="0"/>
        <w:adjustRightInd w:val="0"/>
        <w:snapToGrid w:val="0"/>
        <w:spacing w:line="360" w:lineRule="auto"/>
        <w:ind w:left="449" w:hanging="449" w:hangingChars="213"/>
        <w:outlineLvl w:val="2"/>
        <w:rPr>
          <w:rFonts w:ascii="宋体" w:hAnsi="宋体"/>
          <w:b/>
          <w:bCs/>
          <w:strike/>
          <w:color w:val="auto"/>
          <w:szCs w:val="21"/>
          <w:highlight w:val="none"/>
        </w:rPr>
      </w:pPr>
      <w:r>
        <w:rPr>
          <w:rFonts w:hint="eastAsia" w:ascii="宋体" w:hAnsi="宋体"/>
          <w:b/>
          <w:color w:val="auto"/>
          <w:szCs w:val="21"/>
          <w:highlight w:val="none"/>
        </w:rPr>
        <w:t>定义</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监管部门指招标人或其上级主管单位纪律部门</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招标人指进行招标的单位。</w:t>
      </w:r>
      <w:r>
        <w:rPr>
          <w:rFonts w:hint="eastAsia" w:ascii="宋体" w:hAnsi="宋体" w:cs="宋体"/>
          <w:color w:val="auto"/>
          <w:szCs w:val="21"/>
          <w:highlight w:val="none"/>
          <w:lang w:eastAsia="zh-TW"/>
        </w:rPr>
        <w:t>本招标文件第</w:t>
      </w:r>
      <w:r>
        <w:rPr>
          <w:rFonts w:hint="eastAsia" w:ascii="宋体" w:hAnsi="宋体" w:cs="宋体"/>
          <w:color w:val="auto"/>
          <w:szCs w:val="21"/>
          <w:highlight w:val="none"/>
        </w:rPr>
        <w:t>二</w:t>
      </w:r>
      <w:r>
        <w:rPr>
          <w:rFonts w:hint="eastAsia" w:ascii="宋体" w:hAnsi="宋体" w:cs="宋体"/>
          <w:color w:val="auto"/>
          <w:szCs w:val="21"/>
          <w:highlight w:val="none"/>
          <w:lang w:eastAsia="zh-TW"/>
        </w:rPr>
        <w:t>章</w:t>
      </w:r>
      <w:r>
        <w:rPr>
          <w:rFonts w:hint="eastAsia" w:ascii="宋体" w:hAnsi="宋体" w:cs="黑体"/>
          <w:b/>
          <w:color w:val="auto"/>
          <w:szCs w:val="21"/>
          <w:highlight w:val="none"/>
          <w:lang w:eastAsia="zh-TW"/>
        </w:rPr>
        <w:t>投标资料表</w:t>
      </w:r>
      <w:r>
        <w:rPr>
          <w:rFonts w:hint="eastAsia" w:ascii="宋体" w:hAnsi="宋体" w:cs="宋体"/>
          <w:color w:val="auto"/>
          <w:szCs w:val="21"/>
          <w:highlight w:val="none"/>
          <w:lang w:eastAsia="zh-TW"/>
        </w:rPr>
        <w:t>中所述的招标人已拥有一笔资金</w:t>
      </w:r>
      <w:r>
        <w:rPr>
          <w:rFonts w:hint="eastAsia" w:ascii="宋体" w:hAnsi="宋体" w:cs="宋体"/>
          <w:color w:val="auto"/>
          <w:szCs w:val="21"/>
          <w:highlight w:val="none"/>
        </w:rPr>
        <w:t>或资金来源已落实</w:t>
      </w:r>
      <w:r>
        <w:rPr>
          <w:rFonts w:hint="eastAsia" w:ascii="宋体" w:hAnsi="宋体" w:cs="宋体"/>
          <w:color w:val="auto"/>
          <w:szCs w:val="21"/>
          <w:highlight w:val="none"/>
          <w:lang w:eastAsia="zh-TW"/>
        </w:rPr>
        <w:t>。招标人计划将一部分</w:t>
      </w:r>
      <w:r>
        <w:rPr>
          <w:rFonts w:hint="eastAsia" w:ascii="宋体" w:hAnsi="宋体" w:cs="宋体"/>
          <w:color w:val="auto"/>
          <w:szCs w:val="21"/>
          <w:highlight w:val="none"/>
        </w:rPr>
        <w:t>或全部</w:t>
      </w:r>
      <w:r>
        <w:rPr>
          <w:rFonts w:hint="eastAsia" w:ascii="宋体" w:hAnsi="宋体" w:cs="宋体"/>
          <w:color w:val="auto"/>
          <w:szCs w:val="21"/>
          <w:highlight w:val="none"/>
          <w:lang w:eastAsia="zh-TW"/>
        </w:rPr>
        <w:t>资金用于支付本次</w:t>
      </w:r>
      <w:r>
        <w:rPr>
          <w:rFonts w:hint="eastAsia" w:ascii="宋体" w:hAnsi="宋体" w:cs="宋体"/>
          <w:color w:val="auto"/>
          <w:szCs w:val="21"/>
          <w:highlight w:val="none"/>
        </w:rPr>
        <w:t>招标采购</w:t>
      </w:r>
      <w:r>
        <w:rPr>
          <w:rFonts w:hint="eastAsia" w:ascii="宋体" w:hAnsi="宋体" w:cs="宋体"/>
          <w:color w:val="auto"/>
          <w:szCs w:val="21"/>
          <w:highlight w:val="none"/>
          <w:lang w:eastAsia="zh-TW"/>
        </w:rPr>
        <w:t>后所签订合同项下的款项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olor w:val="auto"/>
          <w:szCs w:val="21"/>
          <w:highlight w:val="none"/>
        </w:rPr>
        <w:t>招标代理机构指按照规定办理名录登记并通过审核的代理机构。</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供应商是指在中华人民共和国境内注册（登记），向招标人提供货物、工程或者服务的法人、其他组织或者自然人。</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投标人是指响应招标、参加投标竞争的法人、其他组织或者自然人。</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中标人是指经法定程序确定并授予合同的投标人。</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合格的货物和服务</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服务：是指除货物和工程以外的其他采购对象，其中包括：投标人须承担的运输、安装、技术支持、培训以及招标文件规定的其它服务。</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投标费用</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投标人应承担所有与准备和参加投标有关的费用。不论投标的结果如何</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招标人或者招标代理机构均无义务和责任承担这些费用</w:t>
      </w:r>
      <w:r>
        <w:rPr>
          <w:rFonts w:hint="eastAsia" w:ascii="宋体" w:hAnsi="宋体" w:cs="宋体"/>
          <w:color w:val="auto"/>
          <w:szCs w:val="21"/>
          <w:highlight w:val="none"/>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其他</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所有时间均为24小时制北京时间，所有货币单位均为人民币元，所使用的计量单位均以《中华人民共和国法定计量单位》为准（特别注明除外）</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供应商（投标人）向我司咨询的有关项目事项，一切以法律法规的规定和本公司书面答复为准，其他一切形式均为个人意见，不代表本公司的意见。</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3" w:name="_Toc438223137"/>
      <w:bookmarkStart w:id="34" w:name="_Toc435516651"/>
      <w:bookmarkStart w:id="35" w:name="_Toc435174934"/>
      <w:r>
        <w:rPr>
          <w:rFonts w:hint="eastAsia" w:ascii="宋体" w:hAnsi="宋体"/>
          <w:b/>
          <w:color w:val="auto"/>
          <w:sz w:val="28"/>
          <w:szCs w:val="28"/>
          <w:highlight w:val="none"/>
          <w:lang w:eastAsia="zh-TW"/>
        </w:rPr>
        <w:t>招标文件</w:t>
      </w:r>
      <w:bookmarkEnd w:id="33"/>
      <w:bookmarkEnd w:id="34"/>
      <w:bookmarkEnd w:id="35"/>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招标文件的编制依据与构成</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本招标文件的编制参照《中华人民共和国招标投标法》、《中华人民共和国政府采购法》。</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招标文件以中文文字编写。招标文件共</w:t>
      </w:r>
      <w:r>
        <w:rPr>
          <w:rFonts w:hint="eastAsia" w:ascii="宋体" w:hAnsi="宋体" w:cs="宋体"/>
          <w:color w:val="auto"/>
          <w:szCs w:val="21"/>
          <w:highlight w:val="none"/>
        </w:rPr>
        <w:t>七</w:t>
      </w:r>
      <w:r>
        <w:rPr>
          <w:rFonts w:hint="eastAsia" w:ascii="宋体" w:hAnsi="宋体" w:cs="宋体"/>
          <w:color w:val="auto"/>
          <w:szCs w:val="21"/>
          <w:highlight w:val="none"/>
          <w:lang w:eastAsia="zh-TW"/>
        </w:rPr>
        <w:t>章。</w:t>
      </w:r>
      <w:r>
        <w:rPr>
          <w:rFonts w:hint="eastAsia" w:ascii="宋体" w:hAnsi="宋体" w:cs="宋体"/>
          <w:color w:val="auto"/>
          <w:szCs w:val="21"/>
          <w:highlight w:val="none"/>
        </w:rPr>
        <w:t>由下列文件以及在招标过程中发出的澄清、修改和补充文件组成，</w:t>
      </w:r>
      <w:r>
        <w:rPr>
          <w:rFonts w:hint="eastAsia" w:ascii="宋体" w:hAnsi="宋体" w:cs="宋体"/>
          <w:color w:val="auto"/>
          <w:szCs w:val="21"/>
          <w:highlight w:val="none"/>
          <w:lang w:eastAsia="zh-TW"/>
        </w:rPr>
        <w:t>内容如下</w:t>
      </w:r>
      <w:r>
        <w:rPr>
          <w:rFonts w:hint="eastAsia" w:ascii="宋体" w:hAnsi="宋体" w:cs="宋体"/>
          <w:color w:val="auto"/>
          <w:szCs w:val="21"/>
          <w:highlight w:val="none"/>
        </w:rPr>
        <w:t>：</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第一章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投标邀请</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第二章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投标资料表</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rPr>
        <w:t>第三章　开标、评标、定标</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四</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用户需求书</w:t>
      </w:r>
    </w:p>
    <w:p>
      <w:pPr>
        <w:snapToGrid w:val="0"/>
        <w:spacing w:line="360" w:lineRule="auto"/>
        <w:ind w:left="445" w:leftChars="212" w:firstLine="1"/>
        <w:rPr>
          <w:rFonts w:ascii="宋体" w:hAnsi="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五</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w:t>
      </w:r>
      <w:r>
        <w:rPr>
          <w:rFonts w:hint="eastAsia" w:ascii="宋体" w:hAnsi="宋体" w:cs="宋体"/>
          <w:b/>
          <w:color w:val="auto"/>
          <w:szCs w:val="21"/>
          <w:highlight w:val="none"/>
          <w:lang w:eastAsia="zh-TW"/>
        </w:rPr>
        <w:t>合同</w:t>
      </w:r>
      <w:r>
        <w:rPr>
          <w:rFonts w:hint="eastAsia" w:ascii="宋体" w:hAnsi="宋体" w:cs="宋体"/>
          <w:b/>
          <w:color w:val="auto"/>
          <w:szCs w:val="21"/>
          <w:highlight w:val="none"/>
        </w:rPr>
        <w:t>文本</w:t>
      </w:r>
    </w:p>
    <w:p>
      <w:pPr>
        <w:snapToGrid w:val="0"/>
        <w:spacing w:line="360" w:lineRule="auto"/>
        <w:ind w:left="445" w:leftChars="212" w:firstLine="1"/>
        <w:rPr>
          <w:rFonts w:ascii="宋体" w:hAnsi="宋体" w:cs="宋体"/>
          <w:b/>
          <w:color w:val="auto"/>
          <w:szCs w:val="21"/>
          <w:highlight w:val="none"/>
        </w:rPr>
      </w:pPr>
      <w:r>
        <w:rPr>
          <w:rFonts w:hint="eastAsia" w:ascii="宋体" w:hAnsi="宋体" w:cs="宋体"/>
          <w:b/>
          <w:color w:val="auto"/>
          <w:szCs w:val="21"/>
          <w:highlight w:val="none"/>
          <w:lang w:eastAsia="zh-TW"/>
        </w:rPr>
        <w:t>第</w:t>
      </w:r>
      <w:r>
        <w:rPr>
          <w:rFonts w:hint="eastAsia" w:ascii="宋体" w:hAnsi="宋体" w:cs="宋体"/>
          <w:b/>
          <w:color w:val="auto"/>
          <w:szCs w:val="21"/>
          <w:highlight w:val="none"/>
        </w:rPr>
        <w:t>六</w:t>
      </w:r>
      <w:r>
        <w:rPr>
          <w:rFonts w:hint="eastAsia" w:ascii="宋体" w:hAnsi="宋体" w:cs="宋体"/>
          <w:b/>
          <w:color w:val="auto"/>
          <w:szCs w:val="21"/>
          <w:highlight w:val="none"/>
          <w:lang w:eastAsia="zh-TW"/>
        </w:rPr>
        <w:t>章</w:t>
      </w:r>
      <w:r>
        <w:rPr>
          <w:rFonts w:hint="eastAsia" w:ascii="宋体" w:hAnsi="宋体" w:cs="宋体"/>
          <w:b/>
          <w:color w:val="auto"/>
          <w:szCs w:val="21"/>
          <w:highlight w:val="none"/>
        </w:rPr>
        <w:t>　投标文件格式</w:t>
      </w:r>
    </w:p>
    <w:p>
      <w:pPr>
        <w:snapToGrid w:val="0"/>
        <w:spacing w:line="360" w:lineRule="auto"/>
        <w:ind w:left="445" w:leftChars="212" w:firstLine="1"/>
        <w:rPr>
          <w:rFonts w:hint="eastAsia" w:ascii="宋体" w:hAnsi="宋体" w:cs="宋体"/>
          <w:b/>
          <w:color w:val="auto"/>
          <w:szCs w:val="21"/>
          <w:highlight w:val="none"/>
          <w:lang w:eastAsia="zh-TW"/>
        </w:rPr>
      </w:pPr>
      <w:r>
        <w:rPr>
          <w:rFonts w:hint="eastAsia" w:ascii="宋体" w:hAnsi="宋体" w:cs="宋体"/>
          <w:b/>
          <w:color w:val="auto"/>
          <w:szCs w:val="21"/>
          <w:highlight w:val="none"/>
        </w:rPr>
        <w:t>第七章　</w:t>
      </w:r>
      <w:r>
        <w:rPr>
          <w:rFonts w:hint="eastAsia" w:ascii="宋体" w:hAnsi="宋体" w:cs="宋体"/>
          <w:b/>
          <w:color w:val="auto"/>
          <w:szCs w:val="21"/>
          <w:highlight w:val="none"/>
          <w:lang w:val="en-US" w:eastAsia="zh-CN"/>
        </w:rPr>
        <w:t>工程量清单及招标控制价</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第八章</w:t>
      </w:r>
      <w:r>
        <w:rPr>
          <w:rFonts w:hint="eastAsia" w:ascii="宋体" w:hAnsi="宋体" w:eastAsia="宋体" w:cs="宋体"/>
          <w:b/>
          <w:color w:val="auto"/>
          <w:kern w:val="2"/>
          <w:sz w:val="21"/>
          <w:szCs w:val="21"/>
          <w:highlight w:val="none"/>
          <w:lang w:val="en-US" w:eastAsia="zh-TW" w:bidi="ar-SA"/>
        </w:rPr>
        <w:t xml:space="preserve"> </w:t>
      </w:r>
      <w:r>
        <w:rPr>
          <w:rFonts w:hint="eastAsia" w:ascii="宋体" w:hAnsi="宋体" w:eastAsia="宋体" w:cs="宋体"/>
          <w:b/>
          <w:color w:val="auto"/>
          <w:kern w:val="2"/>
          <w:sz w:val="21"/>
          <w:szCs w:val="21"/>
          <w:highlight w:val="none"/>
          <w:lang w:val="en-US" w:eastAsia="zh-CN" w:bidi="ar-SA"/>
        </w:rPr>
        <w:t>图纸（另册）</w:t>
      </w:r>
    </w:p>
    <w:p>
      <w:pPr>
        <w:snapToGrid w:val="0"/>
        <w:spacing w:line="360" w:lineRule="auto"/>
        <w:ind w:left="445" w:leftChars="212" w:firstLine="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第九章 投标人须知</w:t>
      </w:r>
    </w:p>
    <w:p>
      <w:pPr>
        <w:pStyle w:val="2"/>
      </w:pPr>
    </w:p>
    <w:p>
      <w:pPr>
        <w:numPr>
          <w:ilvl w:val="1"/>
          <w:numId w:val="18"/>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w:t>
      </w:r>
      <w:r>
        <w:rPr>
          <w:rFonts w:hint="eastAsia" w:ascii="宋体" w:hAnsi="宋体" w:cs="宋体"/>
          <w:color w:val="auto"/>
          <w:szCs w:val="21"/>
          <w:highlight w:val="none"/>
          <w:lang w:eastAsia="zh-TW"/>
        </w:rPr>
        <w:t>招标文件的解释权归“</w:t>
      </w:r>
      <w:r>
        <w:rPr>
          <w:rFonts w:hint="eastAsia" w:ascii="宋体" w:hAnsi="宋体" w:cs="宋体"/>
          <w:color w:val="auto"/>
          <w:szCs w:val="21"/>
          <w:highlight w:val="none"/>
          <w:lang w:eastAsia="zh-CN"/>
        </w:rPr>
        <w:t>广东国仕工程咨询有限公司</w:t>
      </w:r>
      <w:r>
        <w:rPr>
          <w:rFonts w:hint="eastAsia" w:ascii="宋体" w:hAnsi="宋体" w:cs="宋体"/>
          <w:color w:val="auto"/>
          <w:szCs w:val="21"/>
          <w:highlight w:val="none"/>
          <w:lang w:eastAsia="zh-TW"/>
        </w:rPr>
        <w:t>”所有。</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招标文件的澄清或修改</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招标人或者招标代理机构可以对已发出的招标文件进行必要的澄清或者修改</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发出的</w:t>
      </w:r>
      <w:r>
        <w:rPr>
          <w:rFonts w:hint="eastAsia" w:ascii="宋体" w:hAnsi="宋体"/>
          <w:color w:val="auto"/>
          <w:szCs w:val="21"/>
          <w:highlight w:val="none"/>
        </w:rPr>
        <w:t>澄清或修改（更正/变更）的内容为招标文件的组成部分，</w:t>
      </w:r>
      <w:r>
        <w:rPr>
          <w:rFonts w:hint="eastAsia" w:ascii="宋体" w:hAnsi="宋体" w:cs="宋体"/>
          <w:color w:val="auto"/>
          <w:szCs w:val="21"/>
          <w:highlight w:val="none"/>
          <w:lang w:eastAsia="zh-TW"/>
        </w:rPr>
        <w:t>并对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lang w:eastAsia="zh-TW"/>
        </w:rPr>
        <w:t>具有约束力</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ind w:left="777" w:leftChars="0" w:firstLineChars="0"/>
        <w:rPr>
          <w:rFonts w:ascii="宋体" w:hAnsi="宋体" w:cs="宋体"/>
          <w:color w:val="auto"/>
          <w:szCs w:val="21"/>
          <w:highlight w:val="none"/>
          <w:lang w:eastAsia="zh-TW"/>
        </w:rPr>
      </w:pPr>
      <w:r>
        <w:rPr>
          <w:rFonts w:hint="eastAsia" w:ascii="宋体" w:hAnsi="宋体" w:cs="宋体"/>
          <w:color w:val="auto"/>
          <w:szCs w:val="21"/>
          <w:highlight w:val="none"/>
          <w:lang w:eastAsia="zh-TW"/>
        </w:rPr>
        <w:t>对招标文件中描述有歧意或前后不一致的地方，评标委员会有权进行评判</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但对同一条款的评判应适用于每个投标人。</w:t>
      </w:r>
    </w:p>
    <w:p>
      <w:pPr>
        <w:pStyle w:val="6"/>
        <w:rPr>
          <w:color w:val="auto"/>
          <w:highlight w:val="none"/>
        </w:rPr>
      </w:pP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36" w:name="_Toc438223138"/>
      <w:bookmarkStart w:id="37" w:name="_Toc435516652"/>
      <w:bookmarkStart w:id="38" w:name="_Toc435174935"/>
      <w:r>
        <w:rPr>
          <w:rFonts w:hint="eastAsia" w:ascii="宋体" w:hAnsi="宋体"/>
          <w:b/>
          <w:color w:val="auto"/>
          <w:sz w:val="28"/>
          <w:szCs w:val="28"/>
          <w:highlight w:val="none"/>
          <w:lang w:eastAsia="zh-TW"/>
        </w:rPr>
        <w:t>投标文件的编制</w:t>
      </w:r>
      <w:bookmarkEnd w:id="36"/>
      <w:bookmarkEnd w:id="37"/>
      <w:bookmarkEnd w:id="38"/>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投标文件的构成</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投标人编写的投标文件应包括</w:t>
      </w:r>
      <w:r>
        <w:rPr>
          <w:rFonts w:hint="eastAsia" w:ascii="宋体" w:hAnsi="宋体" w:cs="宋体"/>
          <w:b/>
          <w:color w:val="auto"/>
          <w:szCs w:val="21"/>
          <w:highlight w:val="none"/>
        </w:rPr>
        <w:t>资格</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符合性审查文件、</w:t>
      </w:r>
      <w:r>
        <w:rPr>
          <w:rFonts w:hint="eastAsia" w:ascii="宋体" w:hAnsi="宋体"/>
          <w:b/>
          <w:color w:val="auto"/>
          <w:szCs w:val="21"/>
          <w:highlight w:val="none"/>
          <w:lang w:val="en-US" w:eastAsia="zh-CN"/>
        </w:rPr>
        <w:t>报价</w:t>
      </w:r>
      <w:r>
        <w:rPr>
          <w:rFonts w:hint="eastAsia" w:ascii="宋体" w:hAnsi="宋体"/>
          <w:b/>
          <w:color w:val="auto"/>
          <w:szCs w:val="21"/>
          <w:highlight w:val="none"/>
        </w:rPr>
        <w:t>文件</w:t>
      </w:r>
      <w:r>
        <w:rPr>
          <w:rFonts w:hint="eastAsia" w:ascii="宋体" w:hAnsi="宋体" w:cs="宋体"/>
          <w:b/>
          <w:strike/>
          <w:dstrike w:val="0"/>
          <w:color w:val="auto"/>
          <w:szCs w:val="21"/>
          <w:highlight w:val="none"/>
          <w:lang w:val="en-US" w:eastAsia="zh-CN"/>
        </w:rPr>
        <w:t>技术</w:t>
      </w:r>
      <w:r>
        <w:rPr>
          <w:rFonts w:hint="eastAsia" w:ascii="宋体" w:hAnsi="宋体" w:cs="宋体"/>
          <w:b/>
          <w:strike/>
          <w:dstrike w:val="0"/>
          <w:color w:val="auto"/>
          <w:szCs w:val="21"/>
          <w:highlight w:val="none"/>
        </w:rPr>
        <w:t>文件</w:t>
      </w:r>
      <w:r>
        <w:rPr>
          <w:rFonts w:hint="eastAsia" w:ascii="宋体" w:hAnsi="宋体" w:cs="宋体"/>
          <w:b/>
          <w:strike/>
          <w:dstrike w:val="0"/>
          <w:color w:val="auto"/>
          <w:szCs w:val="21"/>
          <w:highlight w:val="none"/>
          <w:lang w:eastAsia="zh-CN"/>
        </w:rPr>
        <w:t>、</w:t>
      </w:r>
      <w:r>
        <w:rPr>
          <w:rFonts w:hint="eastAsia" w:ascii="宋体" w:hAnsi="宋体" w:cs="宋体"/>
          <w:b/>
          <w:strike/>
          <w:dstrike w:val="0"/>
          <w:color w:val="auto"/>
          <w:szCs w:val="21"/>
          <w:highlight w:val="none"/>
          <w:lang w:val="en-US" w:eastAsia="zh-CN"/>
        </w:rPr>
        <w:t>商务文件</w:t>
      </w:r>
      <w:r>
        <w:rPr>
          <w:rFonts w:hint="eastAsia" w:ascii="宋体" w:hAnsi="宋体" w:cs="宋体"/>
          <w:color w:val="auto"/>
          <w:szCs w:val="21"/>
          <w:highlight w:val="none"/>
        </w:rPr>
        <w:t>等</w:t>
      </w:r>
      <w:r>
        <w:rPr>
          <w:rFonts w:hint="eastAsia" w:ascii="宋体" w:hAnsi="宋体" w:cs="宋体"/>
          <w:color w:val="auto"/>
          <w:szCs w:val="21"/>
          <w:highlight w:val="none"/>
          <w:lang w:eastAsia="zh-TW"/>
        </w:rPr>
        <w:t>，编排顺序参见投标文件格式</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投标文件的构成应符合法律法规及招标文件的要求。</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投标文件的编写</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投标人应当对投标文件进行装订，对未经装订的投标文件可能发生的文件散落或缺损，由此造成的后果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8"/>
        </w:numPr>
        <w:tabs>
          <w:tab w:val="left" w:pos="709"/>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投标人必须对投标文件所提供的全部资料的真实性承担法律责任，并无条件接受招标人或者招标代理机构或者</w:t>
      </w:r>
      <w:r>
        <w:rPr>
          <w:rFonts w:hint="eastAsia" w:ascii="宋体" w:hAnsi="宋体"/>
          <w:color w:val="auto"/>
          <w:szCs w:val="21"/>
          <w:highlight w:val="none"/>
        </w:rPr>
        <w:t>监督管理部门</w:t>
      </w:r>
      <w:r>
        <w:rPr>
          <w:rFonts w:hint="eastAsia" w:ascii="宋体" w:hAnsi="宋体" w:cs="宋体"/>
          <w:color w:val="auto"/>
          <w:szCs w:val="21"/>
          <w:highlight w:val="none"/>
          <w:lang w:eastAsia="zh-TW"/>
        </w:rPr>
        <w:t>对其中任何资料进行核实的要求。</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如果因为投标人</w:t>
      </w:r>
      <w:r>
        <w:rPr>
          <w:rFonts w:hint="eastAsia" w:ascii="宋体" w:hAnsi="宋体" w:cs="宋体"/>
          <w:color w:val="auto"/>
          <w:szCs w:val="21"/>
          <w:highlight w:val="none"/>
        </w:rPr>
        <w:t>的</w:t>
      </w:r>
      <w:r>
        <w:rPr>
          <w:rFonts w:hint="eastAsia" w:ascii="宋体" w:hAnsi="宋体" w:cs="宋体"/>
          <w:color w:val="auto"/>
          <w:szCs w:val="21"/>
          <w:highlight w:val="none"/>
          <w:lang w:eastAsia="zh-TW"/>
        </w:rPr>
        <w:t>投标文件只填写和提供了本</w:t>
      </w:r>
      <w:r>
        <w:rPr>
          <w:rFonts w:hint="eastAsia" w:ascii="宋体" w:hAnsi="宋体" w:cs="宋体"/>
          <w:color w:val="auto"/>
          <w:szCs w:val="21"/>
          <w:highlight w:val="none"/>
        </w:rPr>
        <w:t>招标</w:t>
      </w:r>
      <w:r>
        <w:rPr>
          <w:rFonts w:hint="eastAsia" w:ascii="宋体" w:hAnsi="宋体" w:cs="宋体"/>
          <w:color w:val="auto"/>
          <w:szCs w:val="21"/>
          <w:highlight w:val="none"/>
          <w:lang w:eastAsia="zh-TW"/>
        </w:rPr>
        <w:t>文件要求的部分内容和附件，或没有提供招标文件中所要求的资料及数据，由此造成的后果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责任由投标人承担</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ascii="宋体" w:hAnsi="宋体" w:cs="宋体"/>
          <w:color w:val="auto"/>
          <w:szCs w:val="21"/>
          <w:highlight w:val="none"/>
        </w:rPr>
        <w:t>文件</w:t>
      </w:r>
      <w:r>
        <w:rPr>
          <w:rFonts w:hint="eastAsia" w:ascii="宋体" w:hAnsi="宋体" w:cs="宋体"/>
          <w:color w:val="auto"/>
          <w:szCs w:val="21"/>
          <w:highlight w:val="none"/>
          <w:lang w:eastAsia="zh-TW"/>
        </w:rPr>
        <w:t>没有对招标文件在各方面都</w:t>
      </w:r>
      <w:r>
        <w:rPr>
          <w:rFonts w:hint="eastAsia" w:ascii="宋体" w:hAnsi="宋体" w:cs="宋体"/>
          <w:color w:val="auto"/>
          <w:szCs w:val="21"/>
          <w:highlight w:val="none"/>
        </w:rPr>
        <w:t>作</w:t>
      </w:r>
      <w:r>
        <w:rPr>
          <w:rFonts w:hint="eastAsia" w:ascii="宋体" w:hAnsi="宋体" w:cs="宋体"/>
          <w:color w:val="auto"/>
          <w:szCs w:val="21"/>
          <w:highlight w:val="none"/>
          <w:lang w:eastAsia="zh-TW"/>
        </w:rPr>
        <w:t>出实质性响应是投标人的风险，有可能导致其投标被认定为无效投标或被确定为投标无效。</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投标报价</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投标人应按照“用户需求书”</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采购项目技术规格、参数及要求规定的内容、责任范围进行报价。并按《</w:t>
      </w:r>
      <w:r>
        <w:rPr>
          <w:rFonts w:hint="eastAsia" w:ascii="宋体" w:hAnsi="宋体" w:cs="宋体"/>
          <w:color w:val="auto"/>
          <w:szCs w:val="21"/>
          <w:highlight w:val="none"/>
        </w:rPr>
        <w:t>开标一览表(报价表)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《投标分项报价表》的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投标分项报价</w:t>
      </w:r>
      <w:r>
        <w:rPr>
          <w:rFonts w:hint="eastAsia" w:ascii="宋体" w:hAnsi="宋体" w:cs="宋体"/>
          <w:color w:val="auto"/>
          <w:szCs w:val="21"/>
          <w:highlight w:val="none"/>
        </w:rPr>
        <w:t>应包含：</w:t>
      </w:r>
    </w:p>
    <w:p>
      <w:pPr>
        <w:numPr>
          <w:ilvl w:val="2"/>
          <w:numId w:val="18"/>
        </w:numPr>
        <w:tabs>
          <w:tab w:val="left" w:pos="851"/>
          <w:tab w:val="clear" w:pos="567"/>
        </w:tabs>
        <w:autoSpaceDE w:val="0"/>
        <w:autoSpaceDN w:val="0"/>
        <w:adjustRightInd w:val="0"/>
        <w:snapToGrid w:val="0"/>
        <w:spacing w:line="360" w:lineRule="auto"/>
        <w:ind w:left="851" w:hanging="851"/>
        <w:jc w:val="left"/>
        <w:rPr>
          <w:rFonts w:ascii="宋体" w:hAnsi="宋体" w:cs="宋体"/>
          <w:color w:val="auto"/>
          <w:szCs w:val="21"/>
          <w:highlight w:val="none"/>
          <w:lang w:eastAsia="zh-TW"/>
        </w:rPr>
      </w:pPr>
      <w:r>
        <w:rPr>
          <w:rFonts w:hint="eastAsia" w:ascii="宋体" w:hAnsi="宋体" w:cs="宋体"/>
          <w:color w:val="auto"/>
          <w:szCs w:val="21"/>
          <w:highlight w:val="none"/>
        </w:rPr>
        <w:t>按招标文件的要求全部货物及服务内容所需的所有费用，</w:t>
      </w:r>
      <w:r>
        <w:rPr>
          <w:color w:val="auto"/>
          <w:highlight w:val="none"/>
        </w:rPr>
        <w:t>包括但不限于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w:t>
      </w:r>
    </w:p>
    <w:p>
      <w:pPr>
        <w:numPr>
          <w:ilvl w:val="2"/>
          <w:numId w:val="18"/>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w:t>
      </w:r>
      <w:r>
        <w:rPr>
          <w:rFonts w:hint="eastAsia" w:ascii="宋体" w:hAnsi="宋体" w:cs="宋体"/>
          <w:color w:val="auto"/>
          <w:szCs w:val="21"/>
          <w:highlight w:val="none"/>
        </w:rPr>
        <w:t>内容</w:t>
      </w:r>
      <w:r>
        <w:rPr>
          <w:rFonts w:hint="eastAsia" w:ascii="宋体" w:hAnsi="宋体" w:cs="宋体"/>
          <w:color w:val="auto"/>
          <w:szCs w:val="21"/>
          <w:highlight w:val="none"/>
          <w:lang w:eastAsia="zh-TW"/>
        </w:rPr>
        <w:t>须标明“免费”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中另有规定，</w:t>
      </w:r>
      <w:r>
        <w:rPr>
          <w:rFonts w:hint="eastAsia" w:ascii="宋体" w:hAnsi="宋体" w:cs="宋体"/>
          <w:color w:val="auto"/>
          <w:szCs w:val="21"/>
          <w:highlight w:val="none"/>
          <w:lang w:eastAsia="zh-TW"/>
        </w:rPr>
        <w:t>投标人所报的投标价在合同执行过程中是固定不变的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不得以任何理由予以变更。任何包含价格调整要求的投标被认为是非实质性响应投标而予以拒绝。</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olor w:val="auto"/>
          <w:szCs w:val="21"/>
          <w:highlight w:val="none"/>
        </w:rPr>
        <w:t>中允许有备选方案外，本次招标不接受选择性报价，</w:t>
      </w:r>
      <w:r>
        <w:rPr>
          <w:rFonts w:hint="eastAsia" w:ascii="宋体" w:hAnsi="宋体" w:cs="宋体"/>
          <w:color w:val="auto"/>
          <w:szCs w:val="21"/>
          <w:highlight w:val="none"/>
        </w:rPr>
        <w:t>否则将被视为无效投标。</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olor w:val="auto"/>
          <w:szCs w:val="21"/>
          <w:highlight w:val="none"/>
        </w:rPr>
        <w:t>除</w:t>
      </w:r>
      <w:r>
        <w:rPr>
          <w:rFonts w:hint="eastAsia" w:ascii="宋体" w:hAnsi="宋体"/>
          <w:b/>
          <w:color w:val="auto"/>
          <w:szCs w:val="21"/>
          <w:highlight w:val="none"/>
        </w:rPr>
        <w:t>投标资料表</w:t>
      </w:r>
      <w:r>
        <w:rPr>
          <w:rFonts w:hint="eastAsia" w:ascii="宋体" w:hAnsi="宋体" w:cs="宋体"/>
          <w:color w:val="auto"/>
          <w:szCs w:val="21"/>
          <w:highlight w:val="none"/>
        </w:rPr>
        <w:t>另</w:t>
      </w:r>
      <w:r>
        <w:rPr>
          <w:rFonts w:hint="eastAsia" w:ascii="宋体" w:hAnsi="宋体"/>
          <w:color w:val="auto"/>
          <w:szCs w:val="21"/>
          <w:highlight w:val="none"/>
        </w:rPr>
        <w:t>有规定外，本次招标不接受具有附加条件的报价，</w:t>
      </w:r>
      <w:r>
        <w:rPr>
          <w:rFonts w:hint="eastAsia" w:ascii="宋体" w:hAnsi="宋体" w:cs="宋体"/>
          <w:color w:val="auto"/>
          <w:szCs w:val="21"/>
          <w:highlight w:val="none"/>
        </w:rPr>
        <w:t>否则将被视为无效投标。</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投标货币</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投标人所提供的货物和服务均应以人民币报价。</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联合体投标</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除非</w:t>
      </w:r>
      <w:r>
        <w:rPr>
          <w:rFonts w:hint="eastAsia" w:ascii="宋体" w:hAnsi="宋体"/>
          <w:b/>
          <w:color w:val="auto"/>
          <w:szCs w:val="21"/>
          <w:highlight w:val="none"/>
        </w:rPr>
        <w:t>投标邀请</w:t>
      </w:r>
      <w:r>
        <w:rPr>
          <w:rFonts w:hint="eastAsia" w:ascii="宋体" w:hAnsi="宋体"/>
          <w:color w:val="auto"/>
          <w:szCs w:val="21"/>
          <w:highlight w:val="none"/>
        </w:rPr>
        <w:t>中另有规定，不接受联合体投标。如果投标邀请中规定允许联合体投标的，则必须满足：</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以联合体形式参加投标的，联合体各方均必须符合</w:t>
      </w:r>
      <w:r>
        <w:rPr>
          <w:rFonts w:hint="eastAsia" w:ascii="宋体" w:hAnsi="宋体"/>
          <w:bCs/>
          <w:color w:val="auto"/>
          <w:szCs w:val="20"/>
          <w:highlight w:val="none"/>
        </w:rPr>
        <w:t>《中华人民共和国政府采购法》第二十二条第（一）至（六）项规定。</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必须提供各方签订的联合协议，明确约定各方承担的工作和相应的责任。联合体各方签订联合协议，不得再以自己名义单独在同一项目（或包组）中投标，也不得组成新的联合体参加同一项目（或包组）投标。</w:t>
      </w:r>
    </w:p>
    <w:p>
      <w:pPr>
        <w:numPr>
          <w:ilvl w:val="2"/>
          <w:numId w:val="18"/>
        </w:numPr>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联合体中有同类资质的供应商按照联合体分工承担相同工作的，应当按照资质等级较低的供应商确定资质等级。</w:t>
      </w:r>
    </w:p>
    <w:p>
      <w:pPr>
        <w:numPr>
          <w:ilvl w:val="2"/>
          <w:numId w:val="18"/>
        </w:numPr>
        <w:tabs>
          <w:tab w:val="left" w:pos="851"/>
        </w:tabs>
        <w:autoSpaceDE w:val="0"/>
        <w:autoSpaceDN w:val="0"/>
        <w:adjustRightInd w:val="0"/>
        <w:snapToGrid w:val="0"/>
        <w:spacing w:line="360" w:lineRule="auto"/>
        <w:ind w:left="868" w:hanging="868"/>
        <w:rPr>
          <w:rFonts w:ascii="宋体" w:hAnsi="宋体"/>
          <w:color w:val="auto"/>
          <w:szCs w:val="21"/>
          <w:highlight w:val="none"/>
        </w:rPr>
      </w:pPr>
      <w:r>
        <w:rPr>
          <w:rFonts w:hint="eastAsia" w:ascii="宋体" w:hAnsi="宋体"/>
          <w:color w:val="auto"/>
          <w:szCs w:val="21"/>
          <w:highlight w:val="none"/>
        </w:rPr>
        <w:t>联合体投标的，可以由联合体中的一方或者共同提交投标保证金，以一方名义提交投标保证金的，对联合体各方均具有约束力。</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联合体中标的，联合体各方应当共同与</w:t>
      </w:r>
      <w:r>
        <w:rPr>
          <w:rFonts w:hint="eastAsia" w:ascii="宋体" w:hAnsi="宋体"/>
          <w:color w:val="auto"/>
          <w:szCs w:val="21"/>
          <w:highlight w:val="none"/>
        </w:rPr>
        <w:t>招标人</w:t>
      </w:r>
      <w:r>
        <w:rPr>
          <w:rFonts w:ascii="宋体" w:hAnsi="宋体"/>
          <w:color w:val="auto"/>
          <w:szCs w:val="21"/>
          <w:highlight w:val="none"/>
        </w:rPr>
        <w:t>签订合同。</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证明投标人合格和资格的文件</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投标人应提交证明其有资格参加投标和中标后有能力履行合同的文件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并作为其投标文件的一部分。如果投标人为联合体</w:t>
      </w:r>
      <w:r>
        <w:rPr>
          <w:rFonts w:hint="eastAsia" w:ascii="宋体" w:hAnsi="宋体" w:cs="宋体"/>
          <w:color w:val="auto"/>
          <w:szCs w:val="21"/>
          <w:highlight w:val="none"/>
        </w:rPr>
        <w:t>，</w:t>
      </w:r>
      <w:r>
        <w:rPr>
          <w:rFonts w:hint="eastAsia" w:ascii="宋体" w:hAnsi="宋体" w:cs="宋体"/>
          <w:color w:val="auto"/>
          <w:szCs w:val="21"/>
          <w:highlight w:val="none"/>
          <w:lang w:eastAsia="zh-TW"/>
        </w:rPr>
        <w:t>应提交联合体各方的资格证明文件、联合协议并注明主</w:t>
      </w:r>
      <w:r>
        <w:rPr>
          <w:rFonts w:hint="eastAsia" w:ascii="宋体" w:hAnsi="宋体" w:cs="宋体"/>
          <w:color w:val="auto"/>
          <w:szCs w:val="21"/>
          <w:highlight w:val="none"/>
        </w:rPr>
        <w:t>体方及各方拟承担的工作和责任。</w:t>
      </w:r>
      <w:r>
        <w:rPr>
          <w:rFonts w:hint="eastAsia" w:ascii="宋体" w:hAnsi="宋体" w:cs="宋体"/>
          <w:color w:val="auto"/>
          <w:szCs w:val="21"/>
          <w:highlight w:val="none"/>
          <w:lang w:eastAsia="zh-TW"/>
        </w:rPr>
        <w:t>否则</w:t>
      </w:r>
      <w:r>
        <w:rPr>
          <w:rFonts w:hint="eastAsia" w:ascii="宋体" w:hAnsi="宋体" w:cs="宋体"/>
          <w:color w:val="auto"/>
          <w:szCs w:val="21"/>
          <w:highlight w:val="none"/>
        </w:rPr>
        <w:t>，</w:t>
      </w:r>
      <w:r>
        <w:rPr>
          <w:rFonts w:hint="eastAsia" w:ascii="宋体" w:hAnsi="宋体" w:cs="宋体"/>
          <w:color w:val="auto"/>
          <w:szCs w:val="21"/>
          <w:highlight w:val="none"/>
          <w:lang w:eastAsia="zh-TW"/>
        </w:rPr>
        <w:t>将导致其投标</w:t>
      </w:r>
      <w:r>
        <w:rPr>
          <w:rFonts w:hint="eastAsia" w:ascii="宋体" w:hAnsi="宋体" w:cs="宋体"/>
          <w:color w:val="auto"/>
          <w:szCs w:val="21"/>
          <w:highlight w:val="none"/>
        </w:rPr>
        <w:t>无效。</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投标人提交的资格证明文件应证明其</w:t>
      </w:r>
      <w:r>
        <w:rPr>
          <w:rFonts w:hint="eastAsia" w:ascii="宋体" w:hAnsi="宋体" w:cs="宋体"/>
          <w:color w:val="auto"/>
          <w:szCs w:val="21"/>
          <w:highlight w:val="none"/>
        </w:rPr>
        <w:t>满足</w:t>
      </w:r>
      <w:r>
        <w:rPr>
          <w:rFonts w:hint="eastAsia" w:ascii="宋体"/>
          <w:bCs/>
          <w:color w:val="auto"/>
          <w:szCs w:val="20"/>
          <w:highlight w:val="none"/>
        </w:rPr>
        <w:t>投标人的资格要求</w:t>
      </w:r>
      <w:r>
        <w:rPr>
          <w:rFonts w:hint="eastAsia" w:ascii="宋体" w:hAnsi="宋体" w:cs="宋体"/>
          <w:color w:val="auto"/>
          <w:szCs w:val="21"/>
          <w:highlight w:val="none"/>
          <w:lang w:eastAsia="zh-TW"/>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ascii="宋体" w:hAnsi="宋体"/>
          <w:b/>
          <w:bCs/>
          <w:color w:val="auto"/>
          <w:szCs w:val="21"/>
          <w:highlight w:val="none"/>
        </w:rPr>
        <w:t>证明投标标的的合格性和符合招标文件规定的文件</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投标</w:t>
      </w:r>
      <w:r>
        <w:rPr>
          <w:rFonts w:hint="eastAsia" w:ascii="宋体" w:hAnsi="宋体" w:cs="宋体"/>
          <w:color w:val="auto"/>
          <w:szCs w:val="21"/>
          <w:highlight w:val="none"/>
          <w:lang w:eastAsia="zh-TW"/>
        </w:rPr>
        <w:t>的货物和服务的合格性符合招标文件规定。该证明文件作为投标文件的一部分。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货物和服务合格性的证明文件应包括投标分项报价表中对货物和服务原产地的说明。</w:t>
      </w:r>
    </w:p>
    <w:p>
      <w:pPr>
        <w:numPr>
          <w:ilvl w:val="1"/>
          <w:numId w:val="18"/>
        </w:numPr>
        <w:autoSpaceDE w:val="0"/>
        <w:autoSpaceDN w:val="0"/>
        <w:adjustRightInd w:val="0"/>
        <w:snapToGrid w:val="0"/>
        <w:spacing w:line="360" w:lineRule="auto"/>
        <w:rPr>
          <w:rFonts w:ascii="宋体" w:hAnsi="宋体"/>
          <w:strike/>
          <w:color w:val="auto"/>
          <w:szCs w:val="21"/>
          <w:highlight w:val="none"/>
        </w:rPr>
      </w:pPr>
      <w:r>
        <w:rPr>
          <w:rFonts w:hint="eastAsia" w:ascii="宋体" w:hAnsi="宋体" w:cs="宋体"/>
          <w:color w:val="auto"/>
          <w:szCs w:val="21"/>
          <w:highlight w:val="none"/>
          <w:lang w:eastAsia="zh-TW"/>
        </w:rPr>
        <w:t>证明货物和服务与招标文件的要求相一致的文件，可以是文字资料、图纸和数据</w:t>
      </w:r>
      <w:r>
        <w:rPr>
          <w:rFonts w:hint="eastAsia" w:ascii="宋体" w:hAnsi="宋体" w:cs="宋体"/>
          <w:color w:val="auto"/>
          <w:szCs w:val="21"/>
          <w:highlight w:val="none"/>
        </w:rPr>
        <w:t>。</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分包</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b/>
          <w:color w:val="auto"/>
          <w:szCs w:val="21"/>
          <w:highlight w:val="none"/>
        </w:rPr>
        <w:t>投标资料表</w:t>
      </w:r>
      <w:r>
        <w:rPr>
          <w:rFonts w:hint="eastAsia" w:ascii="宋体" w:hAnsi="宋体"/>
          <w:color w:val="auto"/>
          <w:szCs w:val="21"/>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投标保证金</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投标人应</w:t>
      </w:r>
      <w:r>
        <w:rPr>
          <w:rFonts w:hint="eastAsia" w:ascii="宋体" w:hAnsi="宋体" w:cs="宋体"/>
          <w:color w:val="auto"/>
          <w:szCs w:val="21"/>
          <w:highlight w:val="none"/>
        </w:rPr>
        <w:t>按</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w:t>
      </w:r>
      <w:r>
        <w:rPr>
          <w:rFonts w:hint="eastAsia" w:ascii="宋体" w:hAnsi="宋体" w:cs="宋体"/>
          <w:color w:val="auto"/>
          <w:szCs w:val="21"/>
          <w:highlight w:val="none"/>
        </w:rPr>
        <w:t>缴纳</w:t>
      </w:r>
      <w:r>
        <w:rPr>
          <w:rFonts w:hint="eastAsia" w:ascii="宋体" w:hAnsi="宋体" w:cs="宋体"/>
          <w:color w:val="auto"/>
          <w:szCs w:val="21"/>
          <w:highlight w:val="none"/>
          <w:lang w:eastAsia="zh-TW"/>
        </w:rPr>
        <w:t>投标保证金</w:t>
      </w:r>
      <w:r>
        <w:rPr>
          <w:rFonts w:hint="eastAsia" w:ascii="宋体" w:hAnsi="宋体" w:cs="宋体"/>
          <w:color w:val="auto"/>
          <w:szCs w:val="21"/>
          <w:highlight w:val="none"/>
        </w:rPr>
        <w:t>，</w:t>
      </w:r>
      <w:r>
        <w:rPr>
          <w:rFonts w:hint="eastAsia" w:ascii="宋体" w:hAnsi="宋体" w:cs="宋体"/>
          <w:color w:val="auto"/>
          <w:szCs w:val="21"/>
          <w:highlight w:val="none"/>
          <w:lang w:eastAsia="zh-TW"/>
        </w:rPr>
        <w:t>并作为其投标</w:t>
      </w:r>
      <w:r>
        <w:rPr>
          <w:rFonts w:hint="eastAsia" w:ascii="宋体" w:hAnsi="宋体" w:cs="宋体"/>
          <w:color w:val="auto"/>
          <w:szCs w:val="21"/>
          <w:highlight w:val="none"/>
        </w:rPr>
        <w:t>文件的组成</w:t>
      </w:r>
      <w:r>
        <w:rPr>
          <w:rFonts w:hint="eastAsia" w:ascii="宋体" w:hAnsi="宋体" w:cs="宋体"/>
          <w:color w:val="auto"/>
          <w:szCs w:val="21"/>
          <w:highlight w:val="none"/>
          <w:lang w:eastAsia="zh-TW"/>
        </w:rPr>
        <w:t>部分。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投标人在投标截止时间前撤回已提交的投标文件的，招标人或者招标代理机构应当自收到投标人书面撤回通知之日起5个工作日内，退还已收取的投标保证金，但因投标人自身原因导致无法及时退还的除外。</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未中标的投标人保证金，在中标通知书发出之日起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中标人的投标保证金，在中标人与招标人签订采购合同之日起</w:t>
      </w:r>
      <w:r>
        <w:rPr>
          <w:rFonts w:hint="eastAsia" w:ascii="宋体" w:hAnsi="宋体" w:cs="宋体"/>
          <w:color w:val="auto"/>
          <w:szCs w:val="21"/>
          <w:highlight w:val="none"/>
        </w:rPr>
        <w:t>5</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rPr>
        <w:t>（</w:t>
      </w:r>
      <w:r>
        <w:rPr>
          <w:rFonts w:hint="eastAsia" w:ascii="宋体" w:hAnsi="宋体" w:cs="宋体"/>
          <w:color w:val="auto"/>
          <w:szCs w:val="21"/>
          <w:highlight w:val="none"/>
          <w:lang w:eastAsia="zh-TW"/>
        </w:rPr>
        <w:t>但因投标人自身原因导致无法及时退还的除外</w:t>
      </w:r>
      <w:r>
        <w:rPr>
          <w:rFonts w:hint="eastAsia" w:ascii="宋体" w:hAnsi="宋体" w:cs="宋体"/>
          <w:color w:val="auto"/>
          <w:szCs w:val="21"/>
          <w:highlight w:val="none"/>
        </w:rPr>
        <w:t>）</w:t>
      </w:r>
      <w:r>
        <w:rPr>
          <w:rFonts w:hint="eastAsia" w:ascii="宋体" w:hAnsi="宋体" w:cs="宋体"/>
          <w:color w:val="auto"/>
          <w:szCs w:val="21"/>
          <w:highlight w:val="none"/>
          <w:lang w:eastAsia="zh-TW"/>
        </w:rPr>
        <w:t>不计利息原额退还或者转为中标人的</w:t>
      </w:r>
      <w:r>
        <w:rPr>
          <w:rFonts w:hint="eastAsia" w:ascii="宋体" w:hAnsi="宋体" w:cs="宋体"/>
          <w:color w:val="auto"/>
          <w:szCs w:val="21"/>
          <w:highlight w:val="none"/>
        </w:rPr>
        <w:t>履约保证金</w:t>
      </w:r>
      <w:r>
        <w:rPr>
          <w:rFonts w:hint="eastAsia" w:ascii="宋体" w:hAnsi="宋体" w:cs="宋体"/>
          <w:color w:val="auto"/>
          <w:szCs w:val="21"/>
          <w:highlight w:val="none"/>
          <w:lang w:eastAsia="zh-TW"/>
        </w:rPr>
        <w:t>。</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下列任一情</w:t>
      </w:r>
      <w:r>
        <w:rPr>
          <w:rFonts w:hint="eastAsia" w:ascii="宋体" w:hAnsi="宋体" w:cs="宋体"/>
          <w:color w:val="auto"/>
          <w:szCs w:val="21"/>
          <w:highlight w:val="none"/>
        </w:rPr>
        <w:t>形</w:t>
      </w:r>
      <w:r>
        <w:rPr>
          <w:rFonts w:hint="eastAsia" w:ascii="宋体" w:hAnsi="宋体" w:cs="宋体"/>
          <w:color w:val="auto"/>
          <w:szCs w:val="21"/>
          <w:highlight w:val="none"/>
          <w:lang w:eastAsia="zh-TW"/>
        </w:rPr>
        <w:t>发生时</w:t>
      </w:r>
      <w:r>
        <w:rPr>
          <w:rFonts w:hint="eastAsia" w:ascii="宋体" w:hAnsi="宋体" w:cs="宋体"/>
          <w:color w:val="auto"/>
          <w:szCs w:val="21"/>
          <w:highlight w:val="none"/>
        </w:rPr>
        <w:t>，</w:t>
      </w:r>
      <w:r>
        <w:rPr>
          <w:rFonts w:hint="eastAsia" w:ascii="宋体" w:hAnsi="宋体" w:cs="宋体"/>
          <w:color w:val="auto"/>
          <w:szCs w:val="21"/>
          <w:highlight w:val="none"/>
          <w:lang w:eastAsia="zh-TW"/>
        </w:rPr>
        <w:t>投标保证金将不予退还：</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投标人在招标文件中规定的投标有效期内撤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其投标</w:t>
      </w:r>
      <w:r>
        <w:rPr>
          <w:rFonts w:ascii="宋体" w:hAnsi="宋体" w:cs="宋体"/>
          <w:color w:val="auto"/>
          <w:szCs w:val="21"/>
          <w:highlight w:val="none"/>
          <w:lang w:eastAsia="zh-TW"/>
        </w:rPr>
        <w:t>文件</w:t>
      </w:r>
      <w:r>
        <w:rPr>
          <w:rFonts w:hint="eastAsia" w:ascii="宋体" w:hAnsi="宋体" w:cs="宋体"/>
          <w:color w:val="auto"/>
          <w:szCs w:val="21"/>
          <w:highlight w:val="none"/>
        </w:rPr>
        <w:t>；</w:t>
      </w:r>
    </w:p>
    <w:p>
      <w:pPr>
        <w:numPr>
          <w:ilvl w:val="2"/>
          <w:numId w:val="18"/>
        </w:numPr>
        <w:tabs>
          <w:tab w:val="left" w:pos="851"/>
        </w:tabs>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中标后无正当理由放弃中标或中标人</w:t>
      </w:r>
      <w:r>
        <w:rPr>
          <w:rFonts w:hint="eastAsia" w:ascii="宋体" w:hAnsi="宋体" w:cs="宋体"/>
          <w:color w:val="auto"/>
          <w:szCs w:val="21"/>
          <w:highlight w:val="none"/>
        </w:rPr>
        <w:t>拒绝与招标人</w:t>
      </w:r>
      <w:r>
        <w:rPr>
          <w:rFonts w:hint="eastAsia" w:ascii="宋体" w:hAnsi="宋体" w:cs="宋体"/>
          <w:color w:val="auto"/>
          <w:szCs w:val="21"/>
          <w:highlight w:val="none"/>
          <w:lang w:eastAsia="zh-TW"/>
        </w:rPr>
        <w:t>签订合同</w:t>
      </w:r>
      <w:r>
        <w:rPr>
          <w:rFonts w:hint="eastAsia" w:ascii="宋体" w:hAnsi="宋体" w:cs="宋体"/>
          <w:color w:val="auto"/>
          <w:szCs w:val="21"/>
          <w:highlight w:val="none"/>
        </w:rPr>
        <w:t>；</w:t>
      </w:r>
    </w:p>
    <w:p>
      <w:pPr>
        <w:numPr>
          <w:ilvl w:val="2"/>
          <w:numId w:val="18"/>
        </w:numPr>
        <w:tabs>
          <w:tab w:val="left" w:pos="851"/>
        </w:tabs>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rPr>
        <w:t>依法取消中标资格；</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投标有效期</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投标应自</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中规定的投标有效期从提交投标文件的截止之日起算，并</w:t>
      </w:r>
      <w:r>
        <w:rPr>
          <w:rFonts w:hint="eastAsia" w:ascii="宋体" w:hAnsi="宋体" w:cs="宋体"/>
          <w:color w:val="auto"/>
          <w:szCs w:val="21"/>
          <w:highlight w:val="none"/>
        </w:rPr>
        <w:t>与</w:t>
      </w:r>
      <w:r>
        <w:rPr>
          <w:rFonts w:hint="eastAsia" w:ascii="宋体" w:hAnsi="宋体" w:cs="宋体"/>
          <w:b/>
          <w:color w:val="auto"/>
          <w:szCs w:val="21"/>
          <w:highlight w:val="none"/>
          <w:lang w:eastAsia="zh-TW"/>
        </w:rPr>
        <w:t>投标资料表</w:t>
      </w:r>
      <w:r>
        <w:rPr>
          <w:rFonts w:hint="eastAsia" w:ascii="宋体" w:hAnsi="宋体" w:cs="宋体"/>
          <w:color w:val="auto"/>
          <w:szCs w:val="21"/>
          <w:highlight w:val="none"/>
          <w:lang w:eastAsia="zh-TW"/>
        </w:rPr>
        <w:t>中所述期限内保持有效。投标有效期不足的投标将被视为非实质性响应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视为无效投标</w:t>
      </w:r>
      <w:r>
        <w:rPr>
          <w:rFonts w:hint="eastAsia" w:ascii="宋体" w:hAnsi="宋体" w:cs="宋体"/>
          <w:color w:val="auto"/>
          <w:szCs w:val="21"/>
          <w:highlight w:val="none"/>
          <w:lang w:eastAsia="zh-TW"/>
        </w:rPr>
        <w:t>。</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特殊情况下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在原投标有效期截止之前</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cs="宋体"/>
          <w:color w:val="auto"/>
          <w:szCs w:val="21"/>
          <w:highlight w:val="none"/>
        </w:rPr>
        <w:t>，</w:t>
      </w:r>
      <w:r>
        <w:rPr>
          <w:rFonts w:hint="eastAsia" w:ascii="宋体" w:hAnsi="宋体" w:cs="宋体"/>
          <w:color w:val="auto"/>
          <w:szCs w:val="21"/>
          <w:highlight w:val="none"/>
          <w:lang w:eastAsia="zh-TW"/>
        </w:rPr>
        <w:t>其投标保证金将</w:t>
      </w:r>
      <w:r>
        <w:rPr>
          <w:rFonts w:hint="eastAsia" w:ascii="宋体" w:hAnsi="宋体" w:cs="宋体"/>
          <w:color w:val="auto"/>
          <w:szCs w:val="21"/>
          <w:highlight w:val="none"/>
        </w:rPr>
        <w:t>予以退还，</w:t>
      </w:r>
      <w:r>
        <w:rPr>
          <w:rFonts w:hint="eastAsia" w:ascii="宋体" w:hAnsi="宋体" w:cs="宋体"/>
          <w:color w:val="auto"/>
          <w:szCs w:val="21"/>
          <w:highlight w:val="none"/>
          <w:lang w:eastAsia="zh-TW"/>
        </w:rPr>
        <w:t>但其投标在原投标有效期期满后将不再有效。同意延长投标有效期的投标人将不会被要求和允许修正其投标</w:t>
      </w:r>
      <w:r>
        <w:rPr>
          <w:rFonts w:hint="eastAsia" w:ascii="宋体" w:hAnsi="宋体" w:cs="宋体"/>
          <w:color w:val="auto"/>
          <w:szCs w:val="21"/>
          <w:highlight w:val="none"/>
        </w:rPr>
        <w:t>，</w:t>
      </w:r>
      <w:r>
        <w:rPr>
          <w:rFonts w:hint="eastAsia" w:ascii="宋体" w:hAnsi="宋体" w:cs="宋体"/>
          <w:color w:val="auto"/>
          <w:szCs w:val="21"/>
          <w:highlight w:val="none"/>
          <w:lang w:eastAsia="zh-TW"/>
        </w:rPr>
        <w:t>而只会被要求相应地延长其投标保证金的有效期。在这种情况下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本须知有关投标保证金的退还和没收的规定将在延长了的有效期内继续有效。</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投标文件的式样和密封</w:t>
      </w:r>
    </w:p>
    <w:p>
      <w:pPr>
        <w:widowControl/>
        <w:numPr>
          <w:ilvl w:val="1"/>
          <w:numId w:val="18"/>
        </w:num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投标人应准备一份投标文件正本和</w:t>
      </w:r>
      <w:r>
        <w:rPr>
          <w:rFonts w:hint="eastAsia" w:ascii="宋体" w:hAnsi="宋体"/>
          <w:b/>
          <w:color w:val="auto"/>
          <w:szCs w:val="21"/>
          <w:highlight w:val="none"/>
        </w:rPr>
        <w:t>投标资料表</w:t>
      </w:r>
      <w:r>
        <w:rPr>
          <w:rFonts w:hint="eastAsia" w:ascii="宋体" w:hAnsi="宋体"/>
          <w:color w:val="auto"/>
          <w:szCs w:val="21"/>
          <w:highlight w:val="none"/>
        </w:rPr>
        <w:t>中规定数目的副本，投标文件原则上采用A4纸制做。每套投标文件须清楚地标明“正本”或“副本”。若正本和副本不符，以正本为准。</w:t>
      </w:r>
      <w:bookmarkStart w:id="39" w:name="_Toc237787559"/>
      <w:r>
        <w:rPr>
          <w:rFonts w:hint="eastAsia" w:ascii="宋体" w:hAnsi="宋体"/>
          <w:color w:val="auto"/>
          <w:szCs w:val="21"/>
          <w:highlight w:val="none"/>
        </w:rPr>
        <w:t>投标人应按</w:t>
      </w:r>
      <w:r>
        <w:rPr>
          <w:rFonts w:hint="eastAsia" w:ascii="宋体" w:hAnsi="宋体"/>
          <w:b/>
          <w:color w:val="auto"/>
          <w:szCs w:val="21"/>
          <w:highlight w:val="none"/>
        </w:rPr>
        <w:t>投标资料表</w:t>
      </w:r>
      <w:r>
        <w:rPr>
          <w:rFonts w:hint="eastAsia" w:ascii="宋体" w:hAnsi="宋体"/>
          <w:color w:val="auto"/>
          <w:szCs w:val="21"/>
          <w:highlight w:val="none"/>
        </w:rPr>
        <w:t>的规定，同时提交电子介质的投标文件。</w:t>
      </w:r>
      <w:bookmarkEnd w:id="39"/>
      <w:r>
        <w:rPr>
          <w:rFonts w:hint="eastAsia" w:ascii="宋体" w:hAnsi="宋体"/>
          <w:color w:val="auto"/>
          <w:szCs w:val="21"/>
          <w:highlight w:val="none"/>
        </w:rPr>
        <w:t>电子介质的投标文件与纸质投标文件具有同等的法律效力。除非</w:t>
      </w:r>
      <w:r>
        <w:rPr>
          <w:rFonts w:hint="eastAsia" w:ascii="宋体" w:hAnsi="宋体"/>
          <w:b/>
          <w:color w:val="auto"/>
          <w:szCs w:val="21"/>
          <w:highlight w:val="none"/>
        </w:rPr>
        <w:t>投标资料表</w:t>
      </w:r>
      <w:r>
        <w:rPr>
          <w:rFonts w:hint="eastAsia" w:ascii="宋体" w:hAnsi="宋体"/>
          <w:color w:val="auto"/>
          <w:szCs w:val="21"/>
          <w:highlight w:val="none"/>
        </w:rPr>
        <w:t>中另有规定，电子介质的投标文件与纸质投标文件不一致时，以纸质投标文件为准。</w:t>
      </w:r>
    </w:p>
    <w:p>
      <w:pPr>
        <w:numPr>
          <w:ilvl w:val="1"/>
          <w:numId w:val="18"/>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电子文件：是指将按招标文件要求签署、盖章后的正本投标文件扫描成PDF格式后拷贝至无病毒无密码的U盘或光盘</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b/>
          <w:color w:val="auto"/>
          <w:szCs w:val="21"/>
          <w:highlight w:val="none"/>
          <w:lang w:eastAsia="zh-TW"/>
        </w:rPr>
        <w:t>投标文件</w:t>
      </w:r>
      <w:r>
        <w:rPr>
          <w:rFonts w:hint="eastAsia" w:ascii="宋体" w:hAnsi="宋体"/>
          <w:b/>
          <w:bCs/>
          <w:color w:val="auto"/>
          <w:szCs w:val="21"/>
          <w:highlight w:val="none"/>
        </w:rPr>
        <w:t>密封</w:t>
      </w:r>
      <w:r>
        <w:rPr>
          <w:rFonts w:hint="eastAsia" w:ascii="宋体" w:hAnsi="宋体" w:cs="宋体"/>
          <w:b/>
          <w:color w:val="auto"/>
          <w:szCs w:val="21"/>
          <w:highlight w:val="none"/>
          <w:lang w:eastAsia="zh-TW"/>
        </w:rPr>
        <w:t>：</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s="宋体"/>
          <w:color w:val="auto"/>
          <w:szCs w:val="21"/>
          <w:highlight w:val="none"/>
        </w:rPr>
        <w:t>投标文件正本与副本可以单独密封包装，也可以所有投标文件密封包装在一个密封袋内。密封袋的封口处应粘贴处理。</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rPr>
        <w:t>不足以造成投标文件可以从外包装内散出而导致投标文件泄密的，不认定为投标文件未密封。</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b/>
          <w:color w:val="auto"/>
          <w:szCs w:val="21"/>
          <w:highlight w:val="none"/>
          <w:lang w:eastAsia="zh-TW"/>
        </w:rPr>
        <w:t>投标文件的签署：</w:t>
      </w:r>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bookmarkStart w:id="40" w:name="_Toc237787560"/>
      <w:r>
        <w:rPr>
          <w:rFonts w:hint="eastAsia" w:ascii="宋体" w:hAnsi="宋体"/>
          <w:color w:val="auto"/>
          <w:szCs w:val="21"/>
          <w:highlight w:val="none"/>
        </w:rPr>
        <w:t>投标文件正本须用不褪色墨水书写或打印，由投标人的法定代表人或经其正式授权</w:t>
      </w:r>
      <w:bookmarkEnd w:id="40"/>
      <w:bookmarkStart w:id="41" w:name="_Toc237787561"/>
      <w:r>
        <w:rPr>
          <w:rFonts w:hint="eastAsia" w:ascii="宋体" w:hAnsi="宋体"/>
          <w:color w:val="auto"/>
          <w:szCs w:val="21"/>
          <w:highlight w:val="none"/>
        </w:rPr>
        <w:t>的代表签署本人姓名或印盖本人姓名章，不得加盖合同专用章、投标人专用章等各种形式的专用章。授权代表须将以书面形式出具的</w:t>
      </w:r>
      <w:r>
        <w:rPr>
          <w:rFonts w:hint="eastAsia" w:ascii="宋体" w:hAnsi="宋体" w:cs="宋体"/>
          <w:color w:val="auto"/>
          <w:szCs w:val="21"/>
          <w:highlight w:val="none"/>
        </w:rPr>
        <w:t>《法定代表人授权委托书》</w:t>
      </w:r>
      <w:r>
        <w:rPr>
          <w:rFonts w:hint="eastAsia" w:ascii="宋体" w:hAnsi="宋体"/>
          <w:color w:val="auto"/>
          <w:szCs w:val="21"/>
          <w:highlight w:val="none"/>
        </w:rPr>
        <w:t>附在投标文件中。</w:t>
      </w:r>
      <w:bookmarkEnd w:id="41"/>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r>
        <w:rPr>
          <w:rFonts w:hint="eastAsia" w:ascii="宋体" w:hAnsi="宋体" w:cs="宋体"/>
          <w:color w:val="auto"/>
          <w:szCs w:val="21"/>
          <w:highlight w:val="none"/>
          <w:lang w:eastAsia="zh-TW"/>
        </w:rPr>
        <w:t>投标文件中的任何重要的插字、涂改和增删，必须由法定代表人或经其正式授权的代表在旁边签署本人姓名或印盖本人姓名章才有效。</w:t>
      </w:r>
    </w:p>
    <w:p>
      <w:pPr>
        <w:numPr>
          <w:ilvl w:val="2"/>
          <w:numId w:val="18"/>
        </w:numPr>
        <w:autoSpaceDE w:val="0"/>
        <w:autoSpaceDN w:val="0"/>
        <w:adjustRightInd w:val="0"/>
        <w:snapToGrid w:val="0"/>
        <w:spacing w:line="360" w:lineRule="auto"/>
        <w:ind w:left="851" w:hanging="851"/>
        <w:rPr>
          <w:rFonts w:ascii="宋体" w:hAnsi="宋体"/>
          <w:color w:val="auto"/>
          <w:szCs w:val="21"/>
          <w:highlight w:val="none"/>
        </w:rPr>
      </w:pPr>
      <w:bookmarkStart w:id="42" w:name="_Toc237787563"/>
      <w:r>
        <w:rPr>
          <w:rFonts w:hint="eastAsia" w:ascii="宋体" w:hAnsi="宋体"/>
          <w:color w:val="auto"/>
          <w:szCs w:val="21"/>
          <w:highlight w:val="none"/>
        </w:rPr>
        <w:t>投标文件的正本，招标文件中已明示需盖章签名处，均须由投标人加盖投标人公章，并经投标人法定代表人或其正式授权的代表</w:t>
      </w:r>
      <w:bookmarkEnd w:id="42"/>
      <w:bookmarkStart w:id="43" w:name="_Toc237787564"/>
      <w:r>
        <w:rPr>
          <w:rFonts w:hint="eastAsia" w:ascii="宋体" w:hAnsi="宋体"/>
          <w:color w:val="auto"/>
          <w:szCs w:val="21"/>
          <w:highlight w:val="none"/>
        </w:rPr>
        <w:t>签署本人姓名或印盖本人姓名章。投标文件副本</w:t>
      </w:r>
      <w:bookmarkEnd w:id="43"/>
      <w:r>
        <w:rPr>
          <w:rFonts w:hint="eastAsia" w:ascii="宋体" w:hAnsi="宋体"/>
          <w:color w:val="auto"/>
          <w:szCs w:val="21"/>
          <w:highlight w:val="none"/>
        </w:rPr>
        <w:t>应为正本的复印件。</w:t>
      </w:r>
    </w:p>
    <w:p>
      <w:pPr>
        <w:numPr>
          <w:ilvl w:val="1"/>
          <w:numId w:val="18"/>
        </w:numPr>
        <w:autoSpaceDE w:val="0"/>
        <w:autoSpaceDN w:val="0"/>
        <w:adjustRightInd w:val="0"/>
        <w:snapToGrid w:val="0"/>
        <w:spacing w:line="360" w:lineRule="auto"/>
        <w:rPr>
          <w:rFonts w:ascii="宋体" w:hAnsi="宋体" w:cs="宋体"/>
          <w:b/>
          <w:color w:val="auto"/>
          <w:szCs w:val="21"/>
          <w:highlight w:val="none"/>
          <w:lang w:eastAsia="zh-TW"/>
        </w:rPr>
      </w:pPr>
      <w:r>
        <w:rPr>
          <w:rFonts w:hint="eastAsia" w:ascii="宋体" w:hAnsi="宋体" w:cs="宋体"/>
          <w:b/>
          <w:color w:val="auto"/>
          <w:szCs w:val="21"/>
          <w:highlight w:val="none"/>
        </w:rPr>
        <w:t>投标文件标识</w:t>
      </w:r>
    </w:p>
    <w:p>
      <w:pPr>
        <w:numPr>
          <w:ilvl w:val="2"/>
          <w:numId w:val="18"/>
        </w:numPr>
        <w:tabs>
          <w:tab w:val="left" w:pos="851"/>
          <w:tab w:val="left" w:pos="993"/>
          <w:tab w:val="clear" w:pos="567"/>
        </w:tabs>
        <w:autoSpaceDE w:val="0"/>
        <w:autoSpaceDN w:val="0"/>
        <w:adjustRightInd w:val="0"/>
        <w:snapToGrid w:val="0"/>
        <w:spacing w:line="360" w:lineRule="auto"/>
        <w:ind w:left="851" w:hanging="851"/>
        <w:rPr>
          <w:rFonts w:ascii="宋体" w:hAnsi="宋体" w:cs="宋体"/>
          <w:color w:val="auto"/>
          <w:szCs w:val="21"/>
          <w:highlight w:val="none"/>
        </w:rPr>
      </w:pPr>
      <w:r>
        <w:rPr>
          <w:rFonts w:hint="eastAsia" w:ascii="宋体" w:hAnsi="宋体"/>
          <w:color w:val="auto"/>
          <w:highlight w:val="none"/>
        </w:rPr>
        <w:t>信封或外包装上应当</w:t>
      </w:r>
      <w:r>
        <w:rPr>
          <w:rFonts w:hint="eastAsia" w:ascii="宋体" w:hAnsi="宋体" w:cs="宋体"/>
          <w:color w:val="auto"/>
          <w:szCs w:val="21"/>
          <w:highlight w:val="none"/>
        </w:rPr>
        <w:t>清楚写明</w:t>
      </w:r>
      <w:r>
        <w:rPr>
          <w:rFonts w:hint="eastAsia" w:ascii="宋体" w:hAnsi="宋体"/>
          <w:color w:val="auto"/>
          <w:highlight w:val="none"/>
        </w:rPr>
        <w:t>投标人名称、项目名称、项目编号、</w:t>
      </w:r>
      <w:r>
        <w:rPr>
          <w:rFonts w:hint="eastAsia" w:ascii="宋体" w:hAnsi="宋体" w:cs="宋体"/>
          <w:color w:val="auto"/>
          <w:szCs w:val="21"/>
          <w:highlight w:val="none"/>
        </w:rPr>
        <w:t>包组号（如有）”的</w:t>
      </w:r>
      <w:r>
        <w:rPr>
          <w:rFonts w:hint="eastAsia" w:ascii="宋体" w:hAnsi="宋体" w:cs="宋体"/>
          <w:color w:val="auto"/>
          <w:szCs w:val="21"/>
          <w:highlight w:val="none"/>
          <w:lang w:eastAsia="zh-TW"/>
        </w:rPr>
        <w:t>字</w:t>
      </w:r>
      <w:r>
        <w:rPr>
          <w:rFonts w:hint="eastAsia" w:ascii="宋体" w:hAnsi="宋体" w:cs="宋体"/>
          <w:color w:val="auto"/>
          <w:szCs w:val="21"/>
          <w:highlight w:val="none"/>
        </w:rPr>
        <w:t>样。</w:t>
      </w:r>
    </w:p>
    <w:p>
      <w:pPr>
        <w:numPr>
          <w:ilvl w:val="2"/>
          <w:numId w:val="18"/>
        </w:numPr>
        <w:autoSpaceDE w:val="0"/>
        <w:autoSpaceDN w:val="0"/>
        <w:adjustRightInd w:val="0"/>
        <w:snapToGrid w:val="0"/>
        <w:spacing w:line="360" w:lineRule="auto"/>
        <w:ind w:left="851" w:hanging="851"/>
        <w:rPr>
          <w:rFonts w:ascii="宋体" w:hAnsi="宋体" w:cs="宋体"/>
          <w:color w:val="auto"/>
          <w:szCs w:val="21"/>
          <w:highlight w:val="none"/>
          <w:lang w:eastAsia="zh-TW"/>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招标代理机构对误投或提前启封概不负责</w:t>
      </w:r>
      <w:r>
        <w:rPr>
          <w:rFonts w:hint="eastAsia" w:ascii="宋体" w:hAnsi="宋体" w:cs="宋体"/>
          <w:color w:val="auto"/>
          <w:szCs w:val="21"/>
          <w:highlight w:val="none"/>
        </w:rPr>
        <w:t>。</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44" w:name="_Toc435516653"/>
      <w:bookmarkStart w:id="45" w:name="_Toc435174936"/>
      <w:bookmarkStart w:id="46" w:name="_Toc438223139"/>
      <w:r>
        <w:rPr>
          <w:rFonts w:hint="eastAsia" w:ascii="宋体" w:hAnsi="宋体"/>
          <w:b/>
          <w:color w:val="auto"/>
          <w:sz w:val="28"/>
          <w:szCs w:val="28"/>
          <w:highlight w:val="none"/>
          <w:lang w:eastAsia="zh-TW"/>
        </w:rPr>
        <w:t>投标文件的递交</w:t>
      </w:r>
      <w:bookmarkEnd w:id="44"/>
      <w:bookmarkEnd w:id="45"/>
      <w:bookmarkEnd w:id="46"/>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投标文件递交</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w:t>
      </w:r>
      <w:r>
        <w:rPr>
          <w:rFonts w:hint="eastAsia" w:ascii="宋体" w:hAnsi="宋体" w:cs="宋体"/>
          <w:color w:val="auto"/>
          <w:szCs w:val="21"/>
          <w:highlight w:val="none"/>
        </w:rPr>
        <w:t>的投标文件</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在</w:t>
      </w:r>
      <w:r>
        <w:rPr>
          <w:rFonts w:hint="eastAsia" w:ascii="宋体" w:hAnsi="宋体"/>
          <w:color w:val="auto"/>
          <w:highlight w:val="none"/>
        </w:rPr>
        <w:t>本项目投标截止时间前送达开标地点。</w:t>
      </w:r>
    </w:p>
    <w:p>
      <w:pPr>
        <w:numPr>
          <w:ilvl w:val="1"/>
          <w:numId w:val="18"/>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s="宋体"/>
          <w:color w:val="auto"/>
          <w:szCs w:val="21"/>
          <w:highlight w:val="none"/>
          <w:lang w:eastAsia="zh-TW"/>
        </w:rPr>
        <w:t>逾期送达或者未按照招标文件要求密封的投标文件，招标人、招标代理机构应当拒收。</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投标文件的修改和撤回、撤销</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投标人在投标截止时间前，可以对所递交的投标文件进行补充、修改或者撤回，并书面通知招标代理机构。补充、修改的内容应当按招标文件要求签署、盖章、密封后，并作为投标文件的组成部分。在投标截止时间之后，投标人不得对其投标文件做任何修改和补充。</w:t>
      </w:r>
    </w:p>
    <w:p>
      <w:pPr>
        <w:numPr>
          <w:ilvl w:val="1"/>
          <w:numId w:val="18"/>
        </w:numPr>
        <w:autoSpaceDE w:val="0"/>
        <w:autoSpaceDN w:val="0"/>
        <w:adjustRightInd w:val="0"/>
        <w:snapToGrid w:val="0"/>
        <w:spacing w:line="360" w:lineRule="auto"/>
        <w:rPr>
          <w:rFonts w:ascii="宋体" w:hAnsi="宋体" w:cs="黑体"/>
          <w:b/>
          <w:bCs/>
          <w:strike/>
          <w:color w:val="auto"/>
          <w:szCs w:val="21"/>
          <w:highlight w:val="none"/>
        </w:rPr>
      </w:pPr>
      <w:r>
        <w:rPr>
          <w:rFonts w:hint="eastAsia" w:ascii="宋体" w:hAnsi="宋体"/>
          <w:color w:val="auto"/>
          <w:highlight w:val="none"/>
        </w:rPr>
        <w:t>投标人所提交的投标文件在评标结束后，无论中标与否都不退还。</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询问、质疑</w:t>
      </w:r>
    </w:p>
    <w:p>
      <w:pPr>
        <w:numPr>
          <w:ilvl w:val="1"/>
          <w:numId w:val="18"/>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询问</w:t>
      </w:r>
    </w:p>
    <w:p>
      <w:pPr>
        <w:numPr>
          <w:ilvl w:val="2"/>
          <w:numId w:val="18"/>
        </w:numPr>
        <w:autoSpaceDE w:val="0"/>
        <w:autoSpaceDN w:val="0"/>
        <w:adjustRightInd w:val="0"/>
        <w:snapToGrid w:val="0"/>
        <w:spacing w:line="360" w:lineRule="auto"/>
        <w:ind w:left="851" w:hanging="851"/>
        <w:rPr>
          <w:rFonts w:hint="eastAsia" w:ascii="宋体" w:hAnsi="宋体" w:cs="宋体"/>
          <w:color w:val="auto"/>
          <w:szCs w:val="21"/>
          <w:highlight w:val="none"/>
          <w:lang w:eastAsia="zh-TW"/>
        </w:rPr>
      </w:pPr>
      <w:r>
        <w:rPr>
          <w:rFonts w:hint="eastAsia" w:ascii="宋体" w:hAnsi="宋体" w:cs="黑体"/>
          <w:bCs/>
          <w:color w:val="auto"/>
          <w:szCs w:val="21"/>
          <w:highlight w:val="none"/>
        </w:rPr>
        <w:t>供应商对招标采购活动事项有疑问的，可以向</w:t>
      </w:r>
      <w:r>
        <w:rPr>
          <w:rFonts w:hint="eastAsia" w:ascii="宋体" w:hAnsi="宋体" w:cs="宋体"/>
          <w:color w:val="auto"/>
          <w:szCs w:val="21"/>
          <w:highlight w:val="none"/>
          <w:lang w:eastAsia="zh-TW"/>
        </w:rPr>
        <w:t>招标人或者招标代理机构</w:t>
      </w:r>
      <w:r>
        <w:rPr>
          <w:rFonts w:hint="eastAsia" w:ascii="宋体" w:hAnsi="宋体" w:cs="黑体"/>
          <w:bCs/>
          <w:color w:val="auto"/>
          <w:szCs w:val="21"/>
          <w:highlight w:val="none"/>
        </w:rPr>
        <w:t>提出询问，询问可以口头方式提出，也可以书面形式提出</w:t>
      </w:r>
      <w:r>
        <w:rPr>
          <w:rFonts w:hint="eastAsia" w:ascii="宋体" w:hAnsi="宋体" w:cs="黑体"/>
          <w:bCs/>
          <w:color w:val="auto"/>
          <w:szCs w:val="21"/>
          <w:highlight w:val="none"/>
          <w:lang w:val="en-US" w:eastAsia="zh-CN"/>
        </w:rPr>
        <w:t>,</w:t>
      </w:r>
      <w:r>
        <w:rPr>
          <w:rFonts w:hint="eastAsia" w:ascii="宋体" w:hAnsi="宋体" w:cs="宋体"/>
          <w:color w:val="auto"/>
          <w:szCs w:val="21"/>
          <w:highlight w:val="none"/>
          <w:lang w:eastAsia="zh-CN"/>
        </w:rPr>
        <w:t>招标代理</w:t>
      </w:r>
      <w:r>
        <w:rPr>
          <w:rFonts w:hint="eastAsia" w:ascii="宋体" w:hAnsi="宋体" w:cs="宋体"/>
          <w:color w:val="auto"/>
          <w:szCs w:val="21"/>
          <w:highlight w:val="none"/>
          <w:lang w:eastAsia="zh-TW"/>
        </w:rPr>
        <w:t>机构应当在3个工作日内对</w:t>
      </w:r>
      <w:r>
        <w:rPr>
          <w:rFonts w:hint="eastAsia" w:ascii="宋体" w:hAnsi="宋体" w:cs="黑体"/>
          <w:bCs/>
          <w:color w:val="auto"/>
          <w:szCs w:val="21"/>
          <w:highlight w:val="none"/>
        </w:rPr>
        <w:t>供应商</w:t>
      </w:r>
      <w:r>
        <w:rPr>
          <w:rFonts w:hint="eastAsia" w:ascii="宋体" w:hAnsi="宋体" w:cs="宋体"/>
          <w:color w:val="auto"/>
          <w:szCs w:val="21"/>
          <w:highlight w:val="none"/>
          <w:lang w:eastAsia="zh-TW"/>
        </w:rPr>
        <w:t>依法提出询问做出答复。</w:t>
      </w:r>
    </w:p>
    <w:p>
      <w:pPr>
        <w:numPr>
          <w:ilvl w:val="1"/>
          <w:numId w:val="18"/>
        </w:numPr>
        <w:autoSpaceDE w:val="0"/>
        <w:autoSpaceDN w:val="0"/>
        <w:adjustRightInd w:val="0"/>
        <w:snapToGrid w:val="0"/>
        <w:spacing w:line="360" w:lineRule="auto"/>
        <w:rPr>
          <w:rFonts w:ascii="宋体" w:hAnsi="宋体" w:cs="黑体"/>
          <w:bCs/>
          <w:color w:val="auto"/>
          <w:szCs w:val="21"/>
          <w:highlight w:val="none"/>
        </w:rPr>
      </w:pPr>
      <w:r>
        <w:rPr>
          <w:rFonts w:hint="eastAsia" w:ascii="宋体" w:hAnsi="宋体" w:cs="黑体"/>
          <w:bCs/>
          <w:color w:val="auto"/>
          <w:szCs w:val="21"/>
          <w:highlight w:val="none"/>
        </w:rPr>
        <w:t>质疑</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提出质疑的供应商（以下简称质疑供应商）应当是参与所质疑项目采购活动的供应商。</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质疑期限：</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lang w:eastAsia="zh-CN"/>
        </w:rPr>
        <w:t>对可以质疑的招标文件提出质疑的，为收到招标文件之日或者招标文件公告期限届满之日起7个工作日内；</w:t>
      </w:r>
    </w:p>
    <w:p>
      <w:pPr>
        <w:numPr>
          <w:ilvl w:val="3"/>
          <w:numId w:val="18"/>
        </w:numPr>
        <w:autoSpaceDE w:val="0"/>
        <w:autoSpaceDN w:val="0"/>
        <w:adjustRightInd w:val="0"/>
        <w:snapToGrid w:val="0"/>
        <w:spacing w:line="360" w:lineRule="auto"/>
        <w:ind w:left="1078" w:hanging="1078"/>
        <w:rPr>
          <w:rFonts w:hint="eastAsia" w:ascii="宋体" w:hAnsi="宋体" w:cs="黑体"/>
          <w:bCs/>
          <w:color w:val="auto"/>
          <w:szCs w:val="21"/>
          <w:highlight w:val="none"/>
          <w:lang w:eastAsia="zh-CN"/>
        </w:rPr>
      </w:pPr>
      <w:r>
        <w:rPr>
          <w:rFonts w:hint="eastAsia" w:ascii="宋体" w:hAnsi="宋体" w:cs="黑体"/>
          <w:bCs/>
          <w:color w:val="auto"/>
          <w:szCs w:val="21"/>
          <w:highlight w:val="none"/>
          <w:lang w:eastAsia="zh-CN"/>
        </w:rPr>
        <w:t>对招标过程提出质疑的，为各招标程序环节结束之日起7个工作日内；</w:t>
      </w:r>
    </w:p>
    <w:p>
      <w:pPr>
        <w:numPr>
          <w:ilvl w:val="2"/>
          <w:numId w:val="18"/>
        </w:numPr>
        <w:autoSpaceDE w:val="0"/>
        <w:autoSpaceDN w:val="0"/>
        <w:adjustRightInd w:val="0"/>
        <w:snapToGrid w:val="0"/>
        <w:spacing w:line="360" w:lineRule="auto"/>
        <w:ind w:left="851" w:hanging="851"/>
        <w:rPr>
          <w:rFonts w:hint="eastAsia" w:ascii="宋体" w:hAnsi="宋体" w:cs="黑体"/>
          <w:bCs/>
          <w:color w:val="auto"/>
          <w:szCs w:val="21"/>
          <w:highlight w:val="none"/>
        </w:rPr>
      </w:pPr>
      <w:r>
        <w:rPr>
          <w:rFonts w:hint="eastAsia" w:ascii="宋体" w:hAnsi="宋体" w:cs="黑体"/>
          <w:bCs/>
          <w:color w:val="auto"/>
          <w:szCs w:val="21"/>
          <w:highlight w:val="none"/>
        </w:rPr>
        <w:t>对中标结果提出质疑的，为中标结果公告期限届满之日起7个工作日内。</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提交要求：</w:t>
      </w:r>
    </w:p>
    <w:p>
      <w:pPr>
        <w:numPr>
          <w:ilvl w:val="3"/>
          <w:numId w:val="18"/>
        </w:numPr>
        <w:autoSpaceDE w:val="0"/>
        <w:autoSpaceDN w:val="0"/>
        <w:adjustRightInd w:val="0"/>
        <w:snapToGrid w:val="0"/>
        <w:spacing w:line="360" w:lineRule="auto"/>
        <w:ind w:left="1078" w:hanging="1078"/>
        <w:rPr>
          <w:rFonts w:ascii="宋体" w:hAnsi="宋体"/>
          <w:color w:val="auto"/>
          <w:szCs w:val="21"/>
          <w:highlight w:val="none"/>
        </w:rPr>
      </w:pPr>
      <w:r>
        <w:rPr>
          <w:rFonts w:hint="eastAsia" w:ascii="宋体" w:hAnsi="宋体"/>
          <w:color w:val="auto"/>
          <w:szCs w:val="21"/>
          <w:highlight w:val="none"/>
        </w:rPr>
        <w:t>以书面形式（指加盖供应商公章的原件）向招标人或者招标代理机构一次性提出针对同一采购程序环节的质疑。</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质疑函应当包括下列内容：</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供应商的姓名或者名称、地址、邮编、联系人及联系电话；</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质疑项目的名称和项目编号，若对项目的某一分包进行质疑，应列明具体的包组号；</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具体、明确的质疑事项和与质疑事项相关的请求；</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事实依据；</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必要的法律依据；</w:t>
      </w:r>
    </w:p>
    <w:p>
      <w:pPr>
        <w:pStyle w:val="31"/>
        <w:numPr>
          <w:ilvl w:val="0"/>
          <w:numId w:val="19"/>
        </w:numPr>
        <w:tabs>
          <w:tab w:val="left" w:pos="425"/>
          <w:tab w:val="left" w:pos="851"/>
        </w:tabs>
        <w:autoSpaceDE w:val="0"/>
        <w:autoSpaceDN w:val="0"/>
        <w:adjustRightInd w:val="0"/>
        <w:snapToGrid w:val="0"/>
        <w:spacing w:line="360" w:lineRule="auto"/>
        <w:ind w:firstLineChars="0"/>
        <w:rPr>
          <w:rFonts w:ascii="宋体" w:hAnsi="宋体" w:cs="黑体"/>
          <w:bCs/>
          <w:color w:val="auto"/>
          <w:szCs w:val="21"/>
          <w:highlight w:val="none"/>
        </w:rPr>
      </w:pPr>
      <w:r>
        <w:rPr>
          <w:rFonts w:hint="eastAsia" w:ascii="宋体" w:hAnsi="宋体" w:cs="黑体"/>
          <w:bCs/>
          <w:color w:val="auto"/>
          <w:szCs w:val="21"/>
          <w:highlight w:val="none"/>
        </w:rPr>
        <w:t>提出质疑的日期。</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黑体"/>
          <w:bCs/>
          <w:color w:val="auto"/>
          <w:szCs w:val="21"/>
          <w:highlight w:val="none"/>
        </w:rPr>
        <w:t>以联合体形式参加招标采购活动的，其质疑应当由组成联合体的所有供应商共同提出。</w:t>
      </w:r>
    </w:p>
    <w:p>
      <w:pPr>
        <w:numPr>
          <w:ilvl w:val="3"/>
          <w:numId w:val="18"/>
        </w:numPr>
        <w:autoSpaceDE w:val="0"/>
        <w:autoSpaceDN w:val="0"/>
        <w:adjustRightInd w:val="0"/>
        <w:snapToGrid w:val="0"/>
        <w:spacing w:line="360" w:lineRule="auto"/>
        <w:ind w:left="1078" w:hanging="1078"/>
        <w:rPr>
          <w:rFonts w:hAnsi="宋体"/>
          <w:snapToGrid w:val="0"/>
          <w:color w:val="auto"/>
          <w:szCs w:val="21"/>
          <w:highlight w:val="none"/>
        </w:rPr>
      </w:pPr>
      <w:r>
        <w:rPr>
          <w:rFonts w:hint="eastAsia" w:hAnsi="宋体"/>
          <w:color w:val="auto"/>
          <w:szCs w:val="21"/>
          <w:highlight w:val="none"/>
        </w:rPr>
        <w:t>供应商捏造事实、提供虚假材料或者以非法手段取得证明材料不能作为质疑的证明材料</w:t>
      </w:r>
      <w:r>
        <w:rPr>
          <w:rFonts w:hint="eastAsia" w:hAnsi="宋体"/>
          <w:snapToGrid w:val="0"/>
          <w:color w:val="auto"/>
          <w:szCs w:val="21"/>
          <w:highlight w:val="none"/>
        </w:rPr>
        <w:t>。</w:t>
      </w:r>
    </w:p>
    <w:p>
      <w:pPr>
        <w:numPr>
          <w:ilvl w:val="3"/>
          <w:numId w:val="18"/>
        </w:numPr>
        <w:autoSpaceDE w:val="0"/>
        <w:autoSpaceDN w:val="0"/>
        <w:adjustRightInd w:val="0"/>
        <w:snapToGrid w:val="0"/>
        <w:spacing w:line="360" w:lineRule="auto"/>
        <w:ind w:left="1078" w:hanging="1078"/>
        <w:rPr>
          <w:rFonts w:ascii="宋体" w:hAnsi="宋体" w:cs="黑体"/>
          <w:bCs/>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olor w:val="auto"/>
          <w:szCs w:val="21"/>
          <w:highlight w:val="none"/>
        </w:rPr>
        <w:t>在收到质疑函后7个工作日内作出答复，并以书面形式通知质疑供应商和其他有关供应商，但答复内容不涉及商业秘密。</w:t>
      </w:r>
    </w:p>
    <w:p>
      <w:pPr>
        <w:numPr>
          <w:ilvl w:val="2"/>
          <w:numId w:val="18"/>
        </w:numPr>
        <w:autoSpaceDE w:val="0"/>
        <w:autoSpaceDN w:val="0"/>
        <w:adjustRightInd w:val="0"/>
        <w:snapToGrid w:val="0"/>
        <w:spacing w:line="360" w:lineRule="auto"/>
        <w:ind w:left="851" w:hanging="851"/>
        <w:rPr>
          <w:rFonts w:ascii="宋体" w:hAnsi="宋体" w:cs="黑体"/>
          <w:b/>
          <w:bCs/>
          <w:color w:val="auto"/>
          <w:szCs w:val="21"/>
          <w:highlight w:val="none"/>
        </w:rPr>
      </w:pPr>
      <w:r>
        <w:rPr>
          <w:rFonts w:hint="eastAsia" w:ascii="宋体" w:hAnsi="宋体"/>
          <w:color w:val="auto"/>
          <w:szCs w:val="21"/>
          <w:highlight w:val="none"/>
        </w:rPr>
        <w:t>对于捏造事实、滥用维权扰乱采购秩序的恶意质疑者或举证不全查无实据被驳回次数在一年内达三次以上，将纳入不良行为记录名单并承担相应的法律责任。</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中标通知书</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中标人确定后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招标代理机构将在</w:t>
      </w:r>
      <w:r>
        <w:rPr>
          <w:rFonts w:hint="eastAsia" w:ascii="宋体" w:hAnsi="宋体" w:cs="宋体"/>
          <w:color w:val="auto"/>
          <w:szCs w:val="21"/>
          <w:highlight w:val="none"/>
        </w:rPr>
        <w:t>发布采购信息公告的媒体</w:t>
      </w:r>
      <w:r>
        <w:rPr>
          <w:rFonts w:hint="eastAsia" w:ascii="宋体" w:hAnsi="宋体" w:cs="宋体"/>
          <w:color w:val="auto"/>
          <w:szCs w:val="21"/>
          <w:highlight w:val="none"/>
          <w:lang w:eastAsia="zh-TW"/>
        </w:rPr>
        <w:t>上发布中标公告，并向中标人发出《中标通知书》，《中标通知书》对中标人和招标人具有同等法律效力。</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olor w:val="auto"/>
          <w:szCs w:val="21"/>
          <w:highlight w:val="none"/>
        </w:rPr>
        <w:t>《中标通知书》将作为授予合同资格的合法依据，是合同的一个组成部分。</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废标</w:t>
      </w:r>
    </w:p>
    <w:p>
      <w:pPr>
        <w:numPr>
          <w:ilvl w:val="1"/>
          <w:numId w:val="18"/>
        </w:numPr>
        <w:autoSpaceDE w:val="0"/>
        <w:autoSpaceDN w:val="0"/>
        <w:adjustRightInd w:val="0"/>
        <w:snapToGrid w:val="0"/>
        <w:spacing w:line="360" w:lineRule="auto"/>
        <w:rPr>
          <w:rFonts w:ascii="宋体" w:hAnsi="宋体"/>
          <w:color w:val="auto"/>
          <w:szCs w:val="21"/>
          <w:highlight w:val="none"/>
        </w:rPr>
      </w:pPr>
      <w:r>
        <w:rPr>
          <w:rFonts w:ascii="宋体" w:hAnsi="宋体"/>
          <w:color w:val="auto"/>
          <w:szCs w:val="21"/>
          <w:highlight w:val="none"/>
        </w:rPr>
        <w:t>在招标采购中，出现下列情形之一的，应予废标</w:t>
      </w:r>
      <w:r>
        <w:rPr>
          <w:rFonts w:hint="eastAsia" w:ascii="宋体" w:hAnsi="宋体"/>
          <w:color w:val="auto"/>
          <w:szCs w:val="21"/>
          <w:highlight w:val="none"/>
        </w:rPr>
        <w:t>。</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符合专业条件的供应商或者对招标文件作实质响应的供应商不足三家的</w:t>
      </w:r>
      <w:r>
        <w:rPr>
          <w:rFonts w:hint="eastAsia" w:ascii="宋体" w:hAnsi="宋体" w:cs="黑体"/>
          <w:bCs/>
          <w:color w:val="auto"/>
          <w:szCs w:val="21"/>
          <w:highlight w:val="none"/>
          <w:lang w:eastAsia="zh-CN"/>
        </w:rPr>
        <w:t>（</w:t>
      </w:r>
      <w:r>
        <w:rPr>
          <w:rFonts w:hint="eastAsia" w:ascii="宋体" w:hAnsi="宋体" w:cs="黑体"/>
          <w:bCs/>
          <w:color w:val="auto"/>
          <w:szCs w:val="21"/>
          <w:highlight w:val="none"/>
          <w:lang w:val="en-US" w:eastAsia="zh-CN"/>
        </w:rPr>
        <w:t>若到投标截止时间止，招标人收到的投标文件少于3家的，招标人将重新组织招标</w:t>
      </w:r>
      <w:r>
        <w:rPr>
          <w:rFonts w:hint="eastAsia" w:ascii="宋体" w:hAnsi="宋体" w:cs="黑体"/>
          <w:bCs/>
          <w:color w:val="auto"/>
          <w:szCs w:val="21"/>
          <w:highlight w:val="none"/>
        </w:rPr>
        <w:t>；</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出现影响采购公正的违法、违规行为的；</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投标人的报价均超过了采购预算，招标人不能支付的；</w:t>
      </w:r>
    </w:p>
    <w:p>
      <w:pPr>
        <w:numPr>
          <w:ilvl w:val="2"/>
          <w:numId w:val="18"/>
        </w:numPr>
        <w:autoSpaceDE w:val="0"/>
        <w:autoSpaceDN w:val="0"/>
        <w:adjustRightInd w:val="0"/>
        <w:snapToGrid w:val="0"/>
        <w:spacing w:line="360" w:lineRule="auto"/>
        <w:ind w:left="851" w:hanging="851"/>
        <w:rPr>
          <w:rFonts w:ascii="宋体" w:hAnsi="宋体" w:cs="黑体"/>
          <w:bCs/>
          <w:color w:val="auto"/>
          <w:szCs w:val="21"/>
          <w:highlight w:val="none"/>
        </w:rPr>
      </w:pPr>
      <w:r>
        <w:rPr>
          <w:rFonts w:hint="eastAsia" w:ascii="宋体" w:hAnsi="宋体" w:cs="黑体"/>
          <w:bCs/>
          <w:color w:val="auto"/>
          <w:szCs w:val="21"/>
          <w:highlight w:val="none"/>
        </w:rPr>
        <w:t>因重大变故，采购任务取消的。</w:t>
      </w:r>
    </w:p>
    <w:p>
      <w:pPr>
        <w:numPr>
          <w:ilvl w:val="0"/>
          <w:numId w:val="17"/>
        </w:numPr>
        <w:autoSpaceDE w:val="0"/>
        <w:autoSpaceDN w:val="0"/>
        <w:adjustRightInd w:val="0"/>
        <w:snapToGrid w:val="0"/>
        <w:spacing w:before="240" w:beforeLines="100" w:after="240" w:afterLines="100" w:line="360" w:lineRule="auto"/>
        <w:ind w:left="1012" w:hanging="1012" w:hangingChars="360"/>
        <w:jc w:val="center"/>
        <w:outlineLvl w:val="1"/>
        <w:rPr>
          <w:rFonts w:ascii="宋体" w:hAnsi="宋体"/>
          <w:b/>
          <w:color w:val="auto"/>
          <w:sz w:val="28"/>
          <w:szCs w:val="28"/>
          <w:highlight w:val="none"/>
          <w:lang w:eastAsia="zh-TW"/>
        </w:rPr>
      </w:pPr>
      <w:bookmarkStart w:id="47" w:name="_Toc438223141"/>
      <w:bookmarkStart w:id="48" w:name="_Toc435516655"/>
      <w:bookmarkStart w:id="49" w:name="_Toc435174938"/>
      <w:r>
        <w:rPr>
          <w:rFonts w:hint="eastAsia" w:ascii="宋体" w:hAnsi="宋体"/>
          <w:b/>
          <w:color w:val="auto"/>
          <w:sz w:val="28"/>
          <w:szCs w:val="28"/>
          <w:highlight w:val="none"/>
          <w:lang w:eastAsia="zh-TW"/>
        </w:rPr>
        <w:t>授予合同</w:t>
      </w:r>
      <w:bookmarkEnd w:id="47"/>
      <w:bookmarkEnd w:id="48"/>
      <w:bookmarkEnd w:id="49"/>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合同的订立</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招标人应当自中标通知书发出之日起三十日内，按照招标文件和中标人投标文件的约定，与中标人签订书面合同。所签订的合同不得对招标文件和中标人投标文件作实质性修改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color w:val="auto"/>
          <w:szCs w:val="21"/>
          <w:highlight w:val="none"/>
        </w:rPr>
        <w:t>。</w:t>
      </w:r>
    </w:p>
    <w:p>
      <w:pPr>
        <w:numPr>
          <w:ilvl w:val="1"/>
          <w:numId w:val="18"/>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TW"/>
        </w:rPr>
        <w:t>招标人或者招标代理机构</w:t>
      </w:r>
      <w:r>
        <w:rPr>
          <w:rFonts w:hint="eastAsia" w:ascii="宋体" w:hAnsi="宋体" w:cs="宋体"/>
          <w:color w:val="auto"/>
          <w:szCs w:val="21"/>
          <w:highlight w:val="none"/>
        </w:rPr>
        <w:t xml:space="preserve">不得向中标人提出任何不合理的要求，作为签订合同的条件，不得与中标人私下订立背离合同实质性内容的协议。 </w:t>
      </w:r>
    </w:p>
    <w:p>
      <w:pPr>
        <w:numPr>
          <w:ilvl w:val="0"/>
          <w:numId w:val="18"/>
        </w:numPr>
        <w:autoSpaceDE w:val="0"/>
        <w:autoSpaceDN w:val="0"/>
        <w:adjustRightInd w:val="0"/>
        <w:snapToGrid w:val="0"/>
        <w:spacing w:line="360" w:lineRule="auto"/>
        <w:ind w:left="449" w:hanging="449" w:hangingChars="213"/>
        <w:outlineLvl w:val="2"/>
        <w:rPr>
          <w:rFonts w:ascii="宋体" w:hAnsi="宋体"/>
          <w:b/>
          <w:bCs/>
          <w:color w:val="auto"/>
          <w:szCs w:val="21"/>
          <w:highlight w:val="none"/>
        </w:rPr>
      </w:pPr>
      <w:r>
        <w:rPr>
          <w:rFonts w:hint="eastAsia" w:ascii="宋体" w:hAnsi="宋体"/>
          <w:b/>
          <w:bCs/>
          <w:color w:val="auto"/>
          <w:szCs w:val="21"/>
          <w:highlight w:val="none"/>
        </w:rPr>
        <w:t>合同的履行</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订立后，合同各方不得擅自变更、中止或者终止合同。采购合同需要变更的，招标人应将有关合同变更内容，以书面形式报监督管理部门备案；因特殊情况需要中止或终止合同的，招标人应将中止或终止合同的理由以及相应措施，以书面形式报监督管理部门备案。</w:t>
      </w:r>
    </w:p>
    <w:p>
      <w:pPr>
        <w:numPr>
          <w:ilvl w:val="1"/>
          <w:numId w:val="18"/>
        </w:numPr>
        <w:autoSpaceDE w:val="0"/>
        <w:autoSpaceDN w:val="0"/>
        <w:adjustRightInd w:val="0"/>
        <w:snapToGrid w:val="0"/>
        <w:spacing w:line="360" w:lineRule="auto"/>
        <w:rPr>
          <w:rFonts w:ascii="宋体" w:hAnsi="宋体" w:cs="黑体"/>
          <w:b/>
          <w:bCs/>
          <w:color w:val="auto"/>
          <w:szCs w:val="21"/>
          <w:highlight w:val="none"/>
        </w:rPr>
      </w:pPr>
      <w:r>
        <w:rPr>
          <w:rFonts w:hint="eastAsia" w:ascii="宋体" w:hAnsi="宋体" w:cs="宋体"/>
          <w:color w:val="auto"/>
          <w:szCs w:val="21"/>
          <w:highlight w:val="none"/>
          <w:lang w:eastAsia="zh-TW"/>
        </w:rPr>
        <w:t>采购合同履行中，招标人需追加与合同标的相同的货物、工程或者服务的，在不改变合同其他条款的前提下，可以与供应商签订补充合同，但所补充合同的采购金额不得超过原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rPr>
          <w:color w:val="auto"/>
          <w:highlight w:val="none"/>
        </w:rPr>
      </w:pPr>
    </w:p>
    <w:sectPr>
      <w:footerReference r:id="rId7" w:type="default"/>
      <w:pgSz w:w="11907" w:h="16840"/>
      <w:pgMar w:top="1361" w:right="1247" w:bottom="1247" w:left="1247" w:header="720" w:footer="720" w:gutter="0"/>
      <w:pgBorders>
        <w:top w:val="none" w:sz="0" w:space="0"/>
        <w:left w:val="none" w:sz="0" w:space="0"/>
        <w:bottom w:val="none" w:sz="0" w:space="0"/>
        <w:right w:val="none" w:sz="0" w:space="0"/>
      </w:pgBorders>
      <w:pgNumType w:fmt="decimal"/>
      <w:cols w:space="0" w:num="1"/>
      <w:rtlGutter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center"/>
    </w:pPr>
    <w:r>
      <w:rPr>
        <w:rFonts w:hint="eastAsia"/>
      </w:rPr>
      <w:t>第</w:t>
    </w:r>
    <w:r>
      <w:fldChar w:fldCharType="begin"/>
    </w:r>
    <w:r>
      <w:rPr>
        <w:rStyle w:val="26"/>
      </w:rPr>
      <w:instrText xml:space="preserve"> PAGE </w:instrText>
    </w:r>
    <w:r>
      <w:fldChar w:fldCharType="separate"/>
    </w:r>
    <w:r>
      <w:rPr>
        <w:rStyle w:val="26"/>
      </w:rPr>
      <w:t>45</w:t>
    </w:r>
    <w:r>
      <w:fldChar w:fldCharType="end"/>
    </w:r>
    <w:r>
      <w:rPr>
        <w:rStyle w:val="26"/>
        <w:rFonts w:hint="eastAsia"/>
      </w:rPr>
      <w:t>页，共</w:t>
    </w:r>
    <w:r>
      <w:fldChar w:fldCharType="begin"/>
    </w:r>
    <w:r>
      <w:rPr>
        <w:rStyle w:val="26"/>
      </w:rPr>
      <w:instrText xml:space="preserve"> NUMPAGES </w:instrText>
    </w:r>
    <w:r>
      <w:fldChar w:fldCharType="separate"/>
    </w:r>
    <w:r>
      <w:rPr>
        <w:rStyle w:val="26"/>
      </w:rPr>
      <w:t>50</w:t>
    </w:r>
    <w:r>
      <w:fldChar w:fldCharType="end"/>
    </w:r>
    <w:r>
      <w:rPr>
        <w:rStyle w:val="26"/>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eastAsia="宋体"/>
        <w:lang w:val="en-US" w:eastAsia="zh-CN"/>
      </w:rPr>
    </w:pPr>
    <w:r>
      <w:rPr>
        <w:rFonts w:hint="eastAsia"/>
      </w:rPr>
      <w:t>广东国仕工程咨询有限公司</w:t>
    </w:r>
    <w:r>
      <w:rPr>
        <w:rFonts w:hint="eastAsia"/>
        <w:lang w:val="en-US" w:eastAsia="zh-CN"/>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jc w:val="right"/>
    </w:pPr>
    <w:r>
      <w:rPr>
        <w:rFonts w:hint="eastAsia"/>
      </w:rPr>
      <w:t>广东国仕工程咨询有限公司</w:t>
    </w:r>
    <w:r>
      <w:rPr>
        <w:rFonts w:hint="eastAsia"/>
        <w:lang w:val="en-US" w:eastAsia="zh-CN"/>
      </w:rPr>
      <w:t>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360" w:lineRule="auto"/>
      <w:ind w:firstLine="237" w:firstLineChars="132"/>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77CF3"/>
    <w:multiLevelType w:val="singleLevel"/>
    <w:tmpl w:val="96777CF3"/>
    <w:lvl w:ilvl="0" w:tentative="0">
      <w:start w:val="5"/>
      <w:numFmt w:val="chineseCounting"/>
      <w:suff w:val="space"/>
      <w:lvlText w:val="第%1章"/>
      <w:lvlJc w:val="left"/>
      <w:rPr>
        <w:rFonts w:hint="eastAsia"/>
      </w:rPr>
    </w:lvl>
  </w:abstractNum>
  <w:abstractNum w:abstractNumId="1">
    <w:nsid w:val="9DCA394A"/>
    <w:multiLevelType w:val="singleLevel"/>
    <w:tmpl w:val="9DCA394A"/>
    <w:lvl w:ilvl="0" w:tentative="0">
      <w:start w:val="1"/>
      <w:numFmt w:val="decimal"/>
      <w:suff w:val="nothing"/>
      <w:lvlText w:val="%1、"/>
      <w:lvlJc w:val="left"/>
    </w:lvl>
  </w:abstractNum>
  <w:abstractNum w:abstractNumId="2">
    <w:nsid w:val="CB113846"/>
    <w:multiLevelType w:val="singleLevel"/>
    <w:tmpl w:val="CB113846"/>
    <w:lvl w:ilvl="0" w:tentative="0">
      <w:start w:val="1"/>
      <w:numFmt w:val="decimal"/>
      <w:suff w:val="space"/>
      <w:lvlText w:val="（%1）"/>
      <w:lvlJc w:val="left"/>
      <w:pPr>
        <w:ind w:left="630"/>
      </w:pPr>
    </w:lvl>
  </w:abstractNum>
  <w:abstractNum w:abstractNumId="3">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5F5718"/>
    <w:multiLevelType w:val="multilevel"/>
    <w:tmpl w:val="015F5718"/>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193C42F8"/>
    <w:multiLevelType w:val="multilevel"/>
    <w:tmpl w:val="193C42F8"/>
    <w:lvl w:ilvl="0" w:tentative="0">
      <w:start w:val="1"/>
      <w:numFmt w:val="decimal"/>
      <w:lvlText w:val="%1）"/>
      <w:lvlJc w:val="left"/>
      <w:pPr>
        <w:ind w:left="1438" w:hanging="360"/>
      </w:pPr>
      <w:rPr>
        <w:rFonts w:hint="default"/>
      </w:rPr>
    </w:lvl>
    <w:lvl w:ilvl="1" w:tentative="0">
      <w:start w:val="1"/>
      <w:numFmt w:val="lowerLetter"/>
      <w:lvlText w:val="%2)"/>
      <w:lvlJc w:val="left"/>
      <w:pPr>
        <w:ind w:left="1918" w:hanging="420"/>
      </w:pPr>
    </w:lvl>
    <w:lvl w:ilvl="2" w:tentative="0">
      <w:start w:val="1"/>
      <w:numFmt w:val="lowerRoman"/>
      <w:lvlText w:val="%3."/>
      <w:lvlJc w:val="right"/>
      <w:pPr>
        <w:ind w:left="2338" w:hanging="420"/>
      </w:pPr>
    </w:lvl>
    <w:lvl w:ilvl="3" w:tentative="0">
      <w:start w:val="1"/>
      <w:numFmt w:val="decimal"/>
      <w:lvlText w:val="%4."/>
      <w:lvlJc w:val="left"/>
      <w:pPr>
        <w:ind w:left="2758" w:hanging="420"/>
      </w:pPr>
    </w:lvl>
    <w:lvl w:ilvl="4" w:tentative="0">
      <w:start w:val="1"/>
      <w:numFmt w:val="lowerLetter"/>
      <w:lvlText w:val="%5)"/>
      <w:lvlJc w:val="left"/>
      <w:pPr>
        <w:ind w:left="3178" w:hanging="420"/>
      </w:pPr>
    </w:lvl>
    <w:lvl w:ilvl="5" w:tentative="0">
      <w:start w:val="1"/>
      <w:numFmt w:val="lowerRoman"/>
      <w:lvlText w:val="%6."/>
      <w:lvlJc w:val="right"/>
      <w:pPr>
        <w:ind w:left="3598" w:hanging="420"/>
      </w:pPr>
    </w:lvl>
    <w:lvl w:ilvl="6" w:tentative="0">
      <w:start w:val="1"/>
      <w:numFmt w:val="decimal"/>
      <w:lvlText w:val="%7."/>
      <w:lvlJc w:val="left"/>
      <w:pPr>
        <w:ind w:left="4018" w:hanging="420"/>
      </w:pPr>
    </w:lvl>
    <w:lvl w:ilvl="7" w:tentative="0">
      <w:start w:val="1"/>
      <w:numFmt w:val="lowerLetter"/>
      <w:lvlText w:val="%8)"/>
      <w:lvlJc w:val="left"/>
      <w:pPr>
        <w:ind w:left="4438" w:hanging="420"/>
      </w:pPr>
    </w:lvl>
    <w:lvl w:ilvl="8" w:tentative="0">
      <w:start w:val="1"/>
      <w:numFmt w:val="lowerRoman"/>
      <w:lvlText w:val="%9."/>
      <w:lvlJc w:val="right"/>
      <w:pPr>
        <w:ind w:left="4858" w:hanging="420"/>
      </w:p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74B7DC5"/>
    <w:multiLevelType w:val="multilevel"/>
    <w:tmpl w:val="374B7D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BDB009"/>
    <w:multiLevelType w:val="singleLevel"/>
    <w:tmpl w:val="44BDB009"/>
    <w:lvl w:ilvl="0" w:tentative="0">
      <w:start w:val="7"/>
      <w:numFmt w:val="chineseCounting"/>
      <w:suff w:val="nothing"/>
      <w:lvlText w:val="%1、"/>
      <w:lvlJc w:val="left"/>
      <w:rPr>
        <w:rFonts w:hint="eastAsia"/>
      </w:rPr>
    </w:lvl>
  </w:abstractNum>
  <w:abstractNum w:abstractNumId="9">
    <w:nsid w:val="49B0187A"/>
    <w:multiLevelType w:val="multilevel"/>
    <w:tmpl w:val="49B0187A"/>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4B1939B3"/>
    <w:multiLevelType w:val="multilevel"/>
    <w:tmpl w:val="4B1939B3"/>
    <w:lvl w:ilvl="0" w:tentative="0">
      <w:start w:val="1"/>
      <w:numFmt w:val="decimal"/>
      <w:lvlText w:val="%1"/>
      <w:lvlJc w:val="center"/>
      <w:pPr>
        <w:tabs>
          <w:tab w:val="left" w:pos="142"/>
        </w:tabs>
        <w:ind w:left="-38"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1C41503"/>
    <w:multiLevelType w:val="multilevel"/>
    <w:tmpl w:val="51C4150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00914E3"/>
    <w:multiLevelType w:val="multilevel"/>
    <w:tmpl w:val="600914E3"/>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6415CE"/>
    <w:multiLevelType w:val="multilevel"/>
    <w:tmpl w:val="616415CE"/>
    <w:lvl w:ilvl="0" w:tentative="0">
      <w:start w:val="1"/>
      <w:numFmt w:val="decimal"/>
      <w:lvlText w:val="%1."/>
      <w:lvlJc w:val="left"/>
      <w:pPr>
        <w:ind w:left="425" w:hanging="425"/>
      </w:pPr>
      <w:rPr>
        <w:rFonts w:ascii="宋体" w:hAnsi="宋体" w:eastAsia="宋体"/>
      </w:rPr>
    </w:lvl>
    <w:lvl w:ilvl="1" w:tentative="0">
      <w:start w:val="1"/>
      <w:numFmt w:val="decimal"/>
      <w:lvlText w:val="%1.%2."/>
      <w:lvlJc w:val="left"/>
      <w:pPr>
        <w:ind w:left="567" w:hanging="567"/>
      </w:pPr>
      <w:rPr>
        <w:rFonts w:ascii="宋体" w:hAnsi="宋体" w:eastAsia="宋体"/>
        <w:b w:val="0"/>
        <w:color w:val="auto"/>
      </w:rPr>
    </w:lvl>
    <w:lvl w:ilvl="2" w:tentative="0">
      <w:start w:val="1"/>
      <w:numFmt w:val="decimal"/>
      <w:lvlText w:val="%1.%2.%3."/>
      <w:lvlJc w:val="left"/>
      <w:pPr>
        <w:ind w:left="709" w:hanging="709"/>
      </w:pPr>
      <w:rPr>
        <w:b w:val="0"/>
      </w:r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74F7702C"/>
    <w:multiLevelType w:val="multilevel"/>
    <w:tmpl w:val="74F7702C"/>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2"/>
  </w:num>
  <w:num w:numId="5">
    <w:abstractNumId w:val="1"/>
  </w:num>
  <w:num w:numId="6">
    <w:abstractNumId w:val="16"/>
  </w:num>
  <w:num w:numId="7">
    <w:abstractNumId w:val="17"/>
  </w:num>
  <w:num w:numId="8">
    <w:abstractNumId w:val="12"/>
  </w:num>
  <w:num w:numId="9">
    <w:abstractNumId w:val="8"/>
  </w:num>
  <w:num w:numId="10">
    <w:abstractNumId w:val="0"/>
  </w:num>
  <w:num w:numId="11">
    <w:abstractNumId w:val="7"/>
  </w:num>
  <w:num w:numId="12">
    <w:abstractNumId w:val="9"/>
  </w:num>
  <w:num w:numId="13">
    <w:abstractNumId w:val="18"/>
  </w:num>
  <w:num w:numId="14">
    <w:abstractNumId w:val="10"/>
  </w:num>
  <w:num w:numId="15">
    <w:abstractNumId w:val="11"/>
  </w:num>
  <w:num w:numId="16">
    <w:abstractNumId w:val="6"/>
  </w:num>
  <w:num w:numId="17">
    <w:abstractNumId w:val="15"/>
  </w:num>
  <w:num w:numId="18">
    <w:abstractNumId w:val="14"/>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镇珲">
    <w15:presenceInfo w15:providerId="None" w15:userId="杨镇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MTZlMDY5YTc4OTdjNGI2Y2FiYWNhMjQyZmY1Y2UifQ=="/>
  </w:docVars>
  <w:rsids>
    <w:rsidRoot w:val="40ED3DC9"/>
    <w:rsid w:val="00024C01"/>
    <w:rsid w:val="00081F1D"/>
    <w:rsid w:val="000C7800"/>
    <w:rsid w:val="00154253"/>
    <w:rsid w:val="001D27FB"/>
    <w:rsid w:val="00226D6E"/>
    <w:rsid w:val="002974CD"/>
    <w:rsid w:val="002B7CB6"/>
    <w:rsid w:val="003A2AAA"/>
    <w:rsid w:val="003A48F9"/>
    <w:rsid w:val="004F1FFA"/>
    <w:rsid w:val="0057726F"/>
    <w:rsid w:val="007323BE"/>
    <w:rsid w:val="00B600AF"/>
    <w:rsid w:val="00BA1089"/>
    <w:rsid w:val="00BA319B"/>
    <w:rsid w:val="00BE1E10"/>
    <w:rsid w:val="00BE32F3"/>
    <w:rsid w:val="00BF0497"/>
    <w:rsid w:val="00C4155A"/>
    <w:rsid w:val="00CA1C2A"/>
    <w:rsid w:val="00CA30BC"/>
    <w:rsid w:val="00E223BB"/>
    <w:rsid w:val="00F43D4A"/>
    <w:rsid w:val="00FC02BF"/>
    <w:rsid w:val="017D6FFD"/>
    <w:rsid w:val="01883AED"/>
    <w:rsid w:val="019329D2"/>
    <w:rsid w:val="01C43240"/>
    <w:rsid w:val="02982CC8"/>
    <w:rsid w:val="02B7624C"/>
    <w:rsid w:val="02CE3A29"/>
    <w:rsid w:val="030516AD"/>
    <w:rsid w:val="030F2875"/>
    <w:rsid w:val="03184A98"/>
    <w:rsid w:val="03762FDC"/>
    <w:rsid w:val="038D51FF"/>
    <w:rsid w:val="03CA1FAF"/>
    <w:rsid w:val="03DB4934"/>
    <w:rsid w:val="0403311E"/>
    <w:rsid w:val="043D5E01"/>
    <w:rsid w:val="04635FFE"/>
    <w:rsid w:val="0498535F"/>
    <w:rsid w:val="04A633F4"/>
    <w:rsid w:val="05286BA5"/>
    <w:rsid w:val="05452235"/>
    <w:rsid w:val="05AC1B13"/>
    <w:rsid w:val="05F74515"/>
    <w:rsid w:val="06063EB2"/>
    <w:rsid w:val="06451F1B"/>
    <w:rsid w:val="06532730"/>
    <w:rsid w:val="065964F8"/>
    <w:rsid w:val="06D53145"/>
    <w:rsid w:val="06FE1722"/>
    <w:rsid w:val="074E2EF7"/>
    <w:rsid w:val="07741E48"/>
    <w:rsid w:val="07F73C02"/>
    <w:rsid w:val="0808754A"/>
    <w:rsid w:val="089B3512"/>
    <w:rsid w:val="08A17010"/>
    <w:rsid w:val="08B33959"/>
    <w:rsid w:val="08E314E8"/>
    <w:rsid w:val="09383E5F"/>
    <w:rsid w:val="09630EDC"/>
    <w:rsid w:val="098350DA"/>
    <w:rsid w:val="098826F0"/>
    <w:rsid w:val="098A3F24"/>
    <w:rsid w:val="09976DD7"/>
    <w:rsid w:val="09D92B0A"/>
    <w:rsid w:val="09E16B96"/>
    <w:rsid w:val="0A434869"/>
    <w:rsid w:val="0A4765F8"/>
    <w:rsid w:val="0A700227"/>
    <w:rsid w:val="0A865819"/>
    <w:rsid w:val="0A9905E0"/>
    <w:rsid w:val="0AC6411E"/>
    <w:rsid w:val="0B0D0A02"/>
    <w:rsid w:val="0BA02F2C"/>
    <w:rsid w:val="0BBB0267"/>
    <w:rsid w:val="0C377065"/>
    <w:rsid w:val="0C4D4C35"/>
    <w:rsid w:val="0C543E15"/>
    <w:rsid w:val="0C627450"/>
    <w:rsid w:val="0CE5584D"/>
    <w:rsid w:val="0D2E35AF"/>
    <w:rsid w:val="0D307327"/>
    <w:rsid w:val="0D3563C0"/>
    <w:rsid w:val="0D3F7F25"/>
    <w:rsid w:val="0D4A52C7"/>
    <w:rsid w:val="0D865199"/>
    <w:rsid w:val="0D8C034C"/>
    <w:rsid w:val="0D9E070E"/>
    <w:rsid w:val="0DEB39DE"/>
    <w:rsid w:val="0E1E3623"/>
    <w:rsid w:val="0E643351"/>
    <w:rsid w:val="0ED0452A"/>
    <w:rsid w:val="0ED8675E"/>
    <w:rsid w:val="0F0E18EA"/>
    <w:rsid w:val="0F102B00"/>
    <w:rsid w:val="0F4A7D05"/>
    <w:rsid w:val="0F7C393E"/>
    <w:rsid w:val="0F841BAC"/>
    <w:rsid w:val="0FC7195B"/>
    <w:rsid w:val="0FEB5787"/>
    <w:rsid w:val="10615A49"/>
    <w:rsid w:val="106D7D91"/>
    <w:rsid w:val="10BF5059"/>
    <w:rsid w:val="11502EB0"/>
    <w:rsid w:val="1158509E"/>
    <w:rsid w:val="115C7A26"/>
    <w:rsid w:val="11A96AB1"/>
    <w:rsid w:val="12455B84"/>
    <w:rsid w:val="125E4D9E"/>
    <w:rsid w:val="12B845A7"/>
    <w:rsid w:val="12BE7032"/>
    <w:rsid w:val="12CE0283"/>
    <w:rsid w:val="13781A7E"/>
    <w:rsid w:val="13B93BE5"/>
    <w:rsid w:val="13ED1B02"/>
    <w:rsid w:val="140E7C96"/>
    <w:rsid w:val="145C79B2"/>
    <w:rsid w:val="147A73ED"/>
    <w:rsid w:val="148F6D52"/>
    <w:rsid w:val="1493316C"/>
    <w:rsid w:val="14A255D6"/>
    <w:rsid w:val="14AF1408"/>
    <w:rsid w:val="14B46D9E"/>
    <w:rsid w:val="14E6547A"/>
    <w:rsid w:val="14F443A9"/>
    <w:rsid w:val="15017868"/>
    <w:rsid w:val="15227E9D"/>
    <w:rsid w:val="152F201D"/>
    <w:rsid w:val="155E668C"/>
    <w:rsid w:val="159551C7"/>
    <w:rsid w:val="165B2699"/>
    <w:rsid w:val="167222E4"/>
    <w:rsid w:val="16A668AC"/>
    <w:rsid w:val="16C80BBA"/>
    <w:rsid w:val="16EA1297"/>
    <w:rsid w:val="1705104D"/>
    <w:rsid w:val="17341EA0"/>
    <w:rsid w:val="17424826"/>
    <w:rsid w:val="1759391E"/>
    <w:rsid w:val="176D73C9"/>
    <w:rsid w:val="179D6A96"/>
    <w:rsid w:val="17A8381C"/>
    <w:rsid w:val="17A94A1B"/>
    <w:rsid w:val="18000A2E"/>
    <w:rsid w:val="180D3971"/>
    <w:rsid w:val="18AC12E8"/>
    <w:rsid w:val="18D25736"/>
    <w:rsid w:val="18DF3E5F"/>
    <w:rsid w:val="190A58B8"/>
    <w:rsid w:val="192E42C7"/>
    <w:rsid w:val="194128BC"/>
    <w:rsid w:val="1995735D"/>
    <w:rsid w:val="19A2257B"/>
    <w:rsid w:val="19B0396B"/>
    <w:rsid w:val="19DE2ED8"/>
    <w:rsid w:val="1A302DF8"/>
    <w:rsid w:val="1A4547F8"/>
    <w:rsid w:val="1A5A1060"/>
    <w:rsid w:val="1A6C75A8"/>
    <w:rsid w:val="1A7A07C3"/>
    <w:rsid w:val="1B2349D2"/>
    <w:rsid w:val="1B4B0F6F"/>
    <w:rsid w:val="1BC8654F"/>
    <w:rsid w:val="1BD40DCF"/>
    <w:rsid w:val="1BF21E2B"/>
    <w:rsid w:val="1C203E31"/>
    <w:rsid w:val="1C2E1A98"/>
    <w:rsid w:val="1C302462"/>
    <w:rsid w:val="1C773ACA"/>
    <w:rsid w:val="1C844F99"/>
    <w:rsid w:val="1D2E4595"/>
    <w:rsid w:val="1D7119F5"/>
    <w:rsid w:val="1DAA4ED3"/>
    <w:rsid w:val="1DD8098E"/>
    <w:rsid w:val="1E023DFB"/>
    <w:rsid w:val="1E1265D5"/>
    <w:rsid w:val="1E2A7DC2"/>
    <w:rsid w:val="1E4C366C"/>
    <w:rsid w:val="1E5E181A"/>
    <w:rsid w:val="1E843516"/>
    <w:rsid w:val="1E977CB0"/>
    <w:rsid w:val="1EA94C9C"/>
    <w:rsid w:val="1EDD4E34"/>
    <w:rsid w:val="1EEE7443"/>
    <w:rsid w:val="1F18784D"/>
    <w:rsid w:val="1F1B0A31"/>
    <w:rsid w:val="1F2A55BE"/>
    <w:rsid w:val="1F51312D"/>
    <w:rsid w:val="1F5B30AA"/>
    <w:rsid w:val="1F811C64"/>
    <w:rsid w:val="1F8D685B"/>
    <w:rsid w:val="1FF70178"/>
    <w:rsid w:val="20816C99"/>
    <w:rsid w:val="20873B6C"/>
    <w:rsid w:val="20A05279"/>
    <w:rsid w:val="211F4D08"/>
    <w:rsid w:val="219A525F"/>
    <w:rsid w:val="21F229A5"/>
    <w:rsid w:val="22253892"/>
    <w:rsid w:val="22522AC0"/>
    <w:rsid w:val="22620FE0"/>
    <w:rsid w:val="22D71A68"/>
    <w:rsid w:val="22F84BB9"/>
    <w:rsid w:val="234F08C0"/>
    <w:rsid w:val="239D1036"/>
    <w:rsid w:val="23D95B8D"/>
    <w:rsid w:val="23EE7D53"/>
    <w:rsid w:val="23EF22D4"/>
    <w:rsid w:val="24152EA0"/>
    <w:rsid w:val="242552B4"/>
    <w:rsid w:val="246851A0"/>
    <w:rsid w:val="248A5117"/>
    <w:rsid w:val="24B8590D"/>
    <w:rsid w:val="24C01159"/>
    <w:rsid w:val="25577924"/>
    <w:rsid w:val="25871CD8"/>
    <w:rsid w:val="25D078AC"/>
    <w:rsid w:val="25DA20CE"/>
    <w:rsid w:val="263C0693"/>
    <w:rsid w:val="26FE46B2"/>
    <w:rsid w:val="27081EB7"/>
    <w:rsid w:val="272B4A55"/>
    <w:rsid w:val="27F220B1"/>
    <w:rsid w:val="284101E2"/>
    <w:rsid w:val="284E59A3"/>
    <w:rsid w:val="285048C9"/>
    <w:rsid w:val="2886589C"/>
    <w:rsid w:val="28902F18"/>
    <w:rsid w:val="28903525"/>
    <w:rsid w:val="28B4479C"/>
    <w:rsid w:val="28BE7A85"/>
    <w:rsid w:val="28D52AC6"/>
    <w:rsid w:val="28D77F28"/>
    <w:rsid w:val="28FD67FF"/>
    <w:rsid w:val="29535AE8"/>
    <w:rsid w:val="295663A4"/>
    <w:rsid w:val="29A70C9F"/>
    <w:rsid w:val="29C032AA"/>
    <w:rsid w:val="2AB23619"/>
    <w:rsid w:val="2B741AB9"/>
    <w:rsid w:val="2B962ABD"/>
    <w:rsid w:val="2BA50A88"/>
    <w:rsid w:val="2BD97093"/>
    <w:rsid w:val="2BF37A45"/>
    <w:rsid w:val="2C300C99"/>
    <w:rsid w:val="2C316342"/>
    <w:rsid w:val="2C5C169F"/>
    <w:rsid w:val="2C91142F"/>
    <w:rsid w:val="2C9478DB"/>
    <w:rsid w:val="2CB6443F"/>
    <w:rsid w:val="2D1A7254"/>
    <w:rsid w:val="2DC11022"/>
    <w:rsid w:val="2E0769FA"/>
    <w:rsid w:val="2E1775B3"/>
    <w:rsid w:val="2E8017CE"/>
    <w:rsid w:val="2E867376"/>
    <w:rsid w:val="2E874D13"/>
    <w:rsid w:val="2F1C11A3"/>
    <w:rsid w:val="2F332C1C"/>
    <w:rsid w:val="2F580725"/>
    <w:rsid w:val="2F7E3ACA"/>
    <w:rsid w:val="2F807842"/>
    <w:rsid w:val="2FC71915"/>
    <w:rsid w:val="2FCA6D0F"/>
    <w:rsid w:val="300D70B8"/>
    <w:rsid w:val="303075FD"/>
    <w:rsid w:val="3064091E"/>
    <w:rsid w:val="307555DC"/>
    <w:rsid w:val="30801AC4"/>
    <w:rsid w:val="30E10336"/>
    <w:rsid w:val="30E45ED3"/>
    <w:rsid w:val="312B32C2"/>
    <w:rsid w:val="31AA6DF8"/>
    <w:rsid w:val="31C12394"/>
    <w:rsid w:val="31C92360"/>
    <w:rsid w:val="31E10D64"/>
    <w:rsid w:val="31FB5B17"/>
    <w:rsid w:val="320E1A9B"/>
    <w:rsid w:val="323051C2"/>
    <w:rsid w:val="326C67A3"/>
    <w:rsid w:val="32715B68"/>
    <w:rsid w:val="32725AD3"/>
    <w:rsid w:val="32C103D2"/>
    <w:rsid w:val="32DB1233"/>
    <w:rsid w:val="33263AAA"/>
    <w:rsid w:val="332B5D17"/>
    <w:rsid w:val="333C6822"/>
    <w:rsid w:val="33441262"/>
    <w:rsid w:val="33446DD8"/>
    <w:rsid w:val="33602E67"/>
    <w:rsid w:val="33A862CB"/>
    <w:rsid w:val="33B10912"/>
    <w:rsid w:val="33F95E15"/>
    <w:rsid w:val="34017E69"/>
    <w:rsid w:val="34655258"/>
    <w:rsid w:val="34A35D81"/>
    <w:rsid w:val="34E93E19"/>
    <w:rsid w:val="352E1AEE"/>
    <w:rsid w:val="354317B1"/>
    <w:rsid w:val="35571045"/>
    <w:rsid w:val="355E4B9A"/>
    <w:rsid w:val="35673B5D"/>
    <w:rsid w:val="35ED19A9"/>
    <w:rsid w:val="363B197C"/>
    <w:rsid w:val="36766609"/>
    <w:rsid w:val="36906571"/>
    <w:rsid w:val="37045D90"/>
    <w:rsid w:val="370F76FD"/>
    <w:rsid w:val="374224E6"/>
    <w:rsid w:val="375A12C0"/>
    <w:rsid w:val="37635121"/>
    <w:rsid w:val="379F4F25"/>
    <w:rsid w:val="37B432AD"/>
    <w:rsid w:val="37C526D6"/>
    <w:rsid w:val="37E1109A"/>
    <w:rsid w:val="37EA43F2"/>
    <w:rsid w:val="37F050F8"/>
    <w:rsid w:val="384F4255"/>
    <w:rsid w:val="384F51E7"/>
    <w:rsid w:val="38F1129F"/>
    <w:rsid w:val="39545BFD"/>
    <w:rsid w:val="395B30CE"/>
    <w:rsid w:val="398324FE"/>
    <w:rsid w:val="398D6642"/>
    <w:rsid w:val="39D86009"/>
    <w:rsid w:val="3A940645"/>
    <w:rsid w:val="3AC53FE9"/>
    <w:rsid w:val="3AD038F0"/>
    <w:rsid w:val="3B082DE1"/>
    <w:rsid w:val="3B8F3151"/>
    <w:rsid w:val="3BB409BF"/>
    <w:rsid w:val="3BC4712A"/>
    <w:rsid w:val="3BDF1D94"/>
    <w:rsid w:val="3C221C81"/>
    <w:rsid w:val="3C2426BF"/>
    <w:rsid w:val="3C2D0D52"/>
    <w:rsid w:val="3C3D4818"/>
    <w:rsid w:val="3C5F4A67"/>
    <w:rsid w:val="3C917532"/>
    <w:rsid w:val="3CBE19AA"/>
    <w:rsid w:val="3CF96F68"/>
    <w:rsid w:val="3D4A469D"/>
    <w:rsid w:val="3D59067D"/>
    <w:rsid w:val="3E0D653A"/>
    <w:rsid w:val="3E3D49DB"/>
    <w:rsid w:val="3EA61C0D"/>
    <w:rsid w:val="3EC43A3A"/>
    <w:rsid w:val="3EFD2865"/>
    <w:rsid w:val="3F0703B3"/>
    <w:rsid w:val="3F7E3672"/>
    <w:rsid w:val="3FDF7626"/>
    <w:rsid w:val="403027C4"/>
    <w:rsid w:val="4042574E"/>
    <w:rsid w:val="408E7C60"/>
    <w:rsid w:val="40916FFB"/>
    <w:rsid w:val="409C282B"/>
    <w:rsid w:val="40AE018F"/>
    <w:rsid w:val="40B90A3F"/>
    <w:rsid w:val="40BB60BB"/>
    <w:rsid w:val="40CB0B39"/>
    <w:rsid w:val="40CF579F"/>
    <w:rsid w:val="40ED3DC9"/>
    <w:rsid w:val="40FE4A6B"/>
    <w:rsid w:val="41140732"/>
    <w:rsid w:val="41911D83"/>
    <w:rsid w:val="41AC2E09"/>
    <w:rsid w:val="41B8730F"/>
    <w:rsid w:val="41FA7324"/>
    <w:rsid w:val="420430C3"/>
    <w:rsid w:val="42245481"/>
    <w:rsid w:val="423821FE"/>
    <w:rsid w:val="42801AA9"/>
    <w:rsid w:val="42831D2D"/>
    <w:rsid w:val="42840E7C"/>
    <w:rsid w:val="429F0470"/>
    <w:rsid w:val="42E63A08"/>
    <w:rsid w:val="436C5997"/>
    <w:rsid w:val="43A85162"/>
    <w:rsid w:val="43A90B13"/>
    <w:rsid w:val="43CA4243"/>
    <w:rsid w:val="43CC70A2"/>
    <w:rsid w:val="44077599"/>
    <w:rsid w:val="441A3A76"/>
    <w:rsid w:val="44200149"/>
    <w:rsid w:val="44256DF0"/>
    <w:rsid w:val="44371DD1"/>
    <w:rsid w:val="444266DE"/>
    <w:rsid w:val="44753296"/>
    <w:rsid w:val="449A0F4E"/>
    <w:rsid w:val="449B0822"/>
    <w:rsid w:val="44A40B8C"/>
    <w:rsid w:val="44AB7327"/>
    <w:rsid w:val="44B17A65"/>
    <w:rsid w:val="44ED3395"/>
    <w:rsid w:val="44FC39B7"/>
    <w:rsid w:val="450737BA"/>
    <w:rsid w:val="453102F1"/>
    <w:rsid w:val="454809AA"/>
    <w:rsid w:val="45B147A1"/>
    <w:rsid w:val="45EB7A8B"/>
    <w:rsid w:val="467867A4"/>
    <w:rsid w:val="46902609"/>
    <w:rsid w:val="46942001"/>
    <w:rsid w:val="46B9732D"/>
    <w:rsid w:val="46C94ABB"/>
    <w:rsid w:val="46F25D74"/>
    <w:rsid w:val="47305B9A"/>
    <w:rsid w:val="48094616"/>
    <w:rsid w:val="48621D83"/>
    <w:rsid w:val="488C7BC5"/>
    <w:rsid w:val="48C361CD"/>
    <w:rsid w:val="48F00ECF"/>
    <w:rsid w:val="48FA645F"/>
    <w:rsid w:val="48FF31C8"/>
    <w:rsid w:val="493B7D23"/>
    <w:rsid w:val="498D1081"/>
    <w:rsid w:val="499D33FE"/>
    <w:rsid w:val="49A308A5"/>
    <w:rsid w:val="49C179F8"/>
    <w:rsid w:val="49EC7A35"/>
    <w:rsid w:val="4A262EF5"/>
    <w:rsid w:val="4A2A68C7"/>
    <w:rsid w:val="4A37784C"/>
    <w:rsid w:val="4AA352F3"/>
    <w:rsid w:val="4ACC7931"/>
    <w:rsid w:val="4B1C0C34"/>
    <w:rsid w:val="4B6A098C"/>
    <w:rsid w:val="4BBA2451"/>
    <w:rsid w:val="4BE40D01"/>
    <w:rsid w:val="4C412F75"/>
    <w:rsid w:val="4CB22BAD"/>
    <w:rsid w:val="4D5A5C7A"/>
    <w:rsid w:val="4DB72B71"/>
    <w:rsid w:val="4DB9497C"/>
    <w:rsid w:val="4E3D7F6A"/>
    <w:rsid w:val="4ED940FC"/>
    <w:rsid w:val="4EE259CC"/>
    <w:rsid w:val="4F1224F6"/>
    <w:rsid w:val="4F4D7BB0"/>
    <w:rsid w:val="5033165C"/>
    <w:rsid w:val="50363912"/>
    <w:rsid w:val="50C64E79"/>
    <w:rsid w:val="51112598"/>
    <w:rsid w:val="512A47D3"/>
    <w:rsid w:val="514B3CFC"/>
    <w:rsid w:val="515B2086"/>
    <w:rsid w:val="51664CDE"/>
    <w:rsid w:val="51FC6E3C"/>
    <w:rsid w:val="5207114E"/>
    <w:rsid w:val="52513E28"/>
    <w:rsid w:val="525E226F"/>
    <w:rsid w:val="52614C9B"/>
    <w:rsid w:val="52900ED7"/>
    <w:rsid w:val="529A7FAD"/>
    <w:rsid w:val="530C3017"/>
    <w:rsid w:val="530D6D06"/>
    <w:rsid w:val="53177C0E"/>
    <w:rsid w:val="53590226"/>
    <w:rsid w:val="53A323F4"/>
    <w:rsid w:val="53B52C6B"/>
    <w:rsid w:val="53B92A73"/>
    <w:rsid w:val="541A5C08"/>
    <w:rsid w:val="545A6B19"/>
    <w:rsid w:val="54660260"/>
    <w:rsid w:val="54800ACA"/>
    <w:rsid w:val="55277752"/>
    <w:rsid w:val="55375FBB"/>
    <w:rsid w:val="55805F3E"/>
    <w:rsid w:val="55A4299E"/>
    <w:rsid w:val="55CF4191"/>
    <w:rsid w:val="55E5017D"/>
    <w:rsid w:val="56085F32"/>
    <w:rsid w:val="56280A26"/>
    <w:rsid w:val="566969D2"/>
    <w:rsid w:val="569C2904"/>
    <w:rsid w:val="569E667C"/>
    <w:rsid w:val="56ED5762"/>
    <w:rsid w:val="57087F5E"/>
    <w:rsid w:val="57523AF6"/>
    <w:rsid w:val="57563655"/>
    <w:rsid w:val="57567518"/>
    <w:rsid w:val="575B0FEC"/>
    <w:rsid w:val="57A026D7"/>
    <w:rsid w:val="57EE08C4"/>
    <w:rsid w:val="580361A3"/>
    <w:rsid w:val="58082523"/>
    <w:rsid w:val="58BF783F"/>
    <w:rsid w:val="58E16CF4"/>
    <w:rsid w:val="590D0F98"/>
    <w:rsid w:val="59940314"/>
    <w:rsid w:val="59C13501"/>
    <w:rsid w:val="5A1F7AD4"/>
    <w:rsid w:val="5A4E660B"/>
    <w:rsid w:val="5AC460FF"/>
    <w:rsid w:val="5B8744DD"/>
    <w:rsid w:val="5BC8419B"/>
    <w:rsid w:val="5BDE7CC4"/>
    <w:rsid w:val="5BF51806"/>
    <w:rsid w:val="5C412EA6"/>
    <w:rsid w:val="5C5D243B"/>
    <w:rsid w:val="5C6549BE"/>
    <w:rsid w:val="5C8C04DC"/>
    <w:rsid w:val="5CAF5AE5"/>
    <w:rsid w:val="5CC14E59"/>
    <w:rsid w:val="5CEF73A9"/>
    <w:rsid w:val="5D1C479E"/>
    <w:rsid w:val="5D414205"/>
    <w:rsid w:val="5D472E6A"/>
    <w:rsid w:val="5D4E64F9"/>
    <w:rsid w:val="5D731CE1"/>
    <w:rsid w:val="5D865E5F"/>
    <w:rsid w:val="5DB9438D"/>
    <w:rsid w:val="5DC55B33"/>
    <w:rsid w:val="5DE26698"/>
    <w:rsid w:val="5E3D6C56"/>
    <w:rsid w:val="5E4B3F43"/>
    <w:rsid w:val="5E656474"/>
    <w:rsid w:val="5E925F86"/>
    <w:rsid w:val="5EB50A43"/>
    <w:rsid w:val="5ED83A06"/>
    <w:rsid w:val="5F0459E2"/>
    <w:rsid w:val="5F5F6BC4"/>
    <w:rsid w:val="5F6B7317"/>
    <w:rsid w:val="5FAF1563"/>
    <w:rsid w:val="5FC42355"/>
    <w:rsid w:val="5FDE21DF"/>
    <w:rsid w:val="5FE5733A"/>
    <w:rsid w:val="5FFC2665"/>
    <w:rsid w:val="60365B77"/>
    <w:rsid w:val="60870181"/>
    <w:rsid w:val="60896803"/>
    <w:rsid w:val="61252499"/>
    <w:rsid w:val="61A11716"/>
    <w:rsid w:val="61D11F1D"/>
    <w:rsid w:val="61D35768"/>
    <w:rsid w:val="620E4E06"/>
    <w:rsid w:val="622371F2"/>
    <w:rsid w:val="622D7EE0"/>
    <w:rsid w:val="62E31A62"/>
    <w:rsid w:val="63401B7F"/>
    <w:rsid w:val="63C11BFC"/>
    <w:rsid w:val="63C329BB"/>
    <w:rsid w:val="6401649C"/>
    <w:rsid w:val="64330265"/>
    <w:rsid w:val="647E7AED"/>
    <w:rsid w:val="64984234"/>
    <w:rsid w:val="64A37A2D"/>
    <w:rsid w:val="6507425E"/>
    <w:rsid w:val="65085608"/>
    <w:rsid w:val="652C579B"/>
    <w:rsid w:val="65587A54"/>
    <w:rsid w:val="65590552"/>
    <w:rsid w:val="6562358C"/>
    <w:rsid w:val="659E5006"/>
    <w:rsid w:val="65D37E48"/>
    <w:rsid w:val="65E65883"/>
    <w:rsid w:val="665705F5"/>
    <w:rsid w:val="666229BD"/>
    <w:rsid w:val="66A44C66"/>
    <w:rsid w:val="66A857AC"/>
    <w:rsid w:val="66B617C0"/>
    <w:rsid w:val="66CC0FE3"/>
    <w:rsid w:val="66CF63DE"/>
    <w:rsid w:val="67087300"/>
    <w:rsid w:val="67195E3A"/>
    <w:rsid w:val="671A5F94"/>
    <w:rsid w:val="67705E13"/>
    <w:rsid w:val="6818229C"/>
    <w:rsid w:val="681A0818"/>
    <w:rsid w:val="682409AB"/>
    <w:rsid w:val="686966EE"/>
    <w:rsid w:val="687647A3"/>
    <w:rsid w:val="68996CA3"/>
    <w:rsid w:val="68AE3DA2"/>
    <w:rsid w:val="6940624E"/>
    <w:rsid w:val="69487C98"/>
    <w:rsid w:val="696509F3"/>
    <w:rsid w:val="699D0A15"/>
    <w:rsid w:val="69F65B30"/>
    <w:rsid w:val="6A176365"/>
    <w:rsid w:val="6A2F092B"/>
    <w:rsid w:val="6A8D3736"/>
    <w:rsid w:val="6A8E4E09"/>
    <w:rsid w:val="6AC56475"/>
    <w:rsid w:val="6AE34B4E"/>
    <w:rsid w:val="6B160F92"/>
    <w:rsid w:val="6B483A91"/>
    <w:rsid w:val="6B4F5062"/>
    <w:rsid w:val="6B726C0E"/>
    <w:rsid w:val="6CC10EBE"/>
    <w:rsid w:val="6CCD7863"/>
    <w:rsid w:val="6CD429A0"/>
    <w:rsid w:val="6CF128F8"/>
    <w:rsid w:val="6DB22C85"/>
    <w:rsid w:val="6DBE774B"/>
    <w:rsid w:val="6DCC7B1B"/>
    <w:rsid w:val="6E213C3C"/>
    <w:rsid w:val="6E5D1004"/>
    <w:rsid w:val="6E712470"/>
    <w:rsid w:val="6F60471D"/>
    <w:rsid w:val="6F653872"/>
    <w:rsid w:val="6FA84ED0"/>
    <w:rsid w:val="6FE62BA6"/>
    <w:rsid w:val="6FEF5D43"/>
    <w:rsid w:val="70A46B3E"/>
    <w:rsid w:val="71272708"/>
    <w:rsid w:val="714D068C"/>
    <w:rsid w:val="7182407C"/>
    <w:rsid w:val="718F7DBA"/>
    <w:rsid w:val="71A4666F"/>
    <w:rsid w:val="71B90855"/>
    <w:rsid w:val="71DD525F"/>
    <w:rsid w:val="722865D8"/>
    <w:rsid w:val="722E4789"/>
    <w:rsid w:val="72541E8D"/>
    <w:rsid w:val="727644F9"/>
    <w:rsid w:val="72907874"/>
    <w:rsid w:val="72A2709C"/>
    <w:rsid w:val="72EB210C"/>
    <w:rsid w:val="730D09BA"/>
    <w:rsid w:val="732163E3"/>
    <w:rsid w:val="733E0A80"/>
    <w:rsid w:val="735275BC"/>
    <w:rsid w:val="737309F3"/>
    <w:rsid w:val="737E541A"/>
    <w:rsid w:val="73830C7C"/>
    <w:rsid w:val="73AD7799"/>
    <w:rsid w:val="73E3171A"/>
    <w:rsid w:val="73FE15F8"/>
    <w:rsid w:val="74082686"/>
    <w:rsid w:val="741D149B"/>
    <w:rsid w:val="743D0D37"/>
    <w:rsid w:val="744743D4"/>
    <w:rsid w:val="746F7452"/>
    <w:rsid w:val="7475614C"/>
    <w:rsid w:val="74CE5F27"/>
    <w:rsid w:val="74D6615E"/>
    <w:rsid w:val="75B81421"/>
    <w:rsid w:val="75EB48B6"/>
    <w:rsid w:val="7677028E"/>
    <w:rsid w:val="76916271"/>
    <w:rsid w:val="76E00495"/>
    <w:rsid w:val="76EF03D6"/>
    <w:rsid w:val="773D3B89"/>
    <w:rsid w:val="7740327A"/>
    <w:rsid w:val="77862AE9"/>
    <w:rsid w:val="779A47E6"/>
    <w:rsid w:val="77AC46E5"/>
    <w:rsid w:val="77BA2457"/>
    <w:rsid w:val="77D843B1"/>
    <w:rsid w:val="77EB76BC"/>
    <w:rsid w:val="782C672D"/>
    <w:rsid w:val="788B2E7B"/>
    <w:rsid w:val="78D45AD6"/>
    <w:rsid w:val="78FD6DDA"/>
    <w:rsid w:val="790C709A"/>
    <w:rsid w:val="79A35FDF"/>
    <w:rsid w:val="79A53A2C"/>
    <w:rsid w:val="79AE2B9E"/>
    <w:rsid w:val="79CF7F3B"/>
    <w:rsid w:val="79DD4098"/>
    <w:rsid w:val="79F521A7"/>
    <w:rsid w:val="7A113AD1"/>
    <w:rsid w:val="7A65732D"/>
    <w:rsid w:val="7A6D61E2"/>
    <w:rsid w:val="7B434B9C"/>
    <w:rsid w:val="7B8C5067"/>
    <w:rsid w:val="7B9E44F5"/>
    <w:rsid w:val="7C06761C"/>
    <w:rsid w:val="7C350C01"/>
    <w:rsid w:val="7C5331B5"/>
    <w:rsid w:val="7D425704"/>
    <w:rsid w:val="7D513B99"/>
    <w:rsid w:val="7D6531A0"/>
    <w:rsid w:val="7D6910FE"/>
    <w:rsid w:val="7DC3502D"/>
    <w:rsid w:val="7DEC04FF"/>
    <w:rsid w:val="7DF509C8"/>
    <w:rsid w:val="7DFF35F5"/>
    <w:rsid w:val="7E0F5620"/>
    <w:rsid w:val="7E571590"/>
    <w:rsid w:val="7E8F55AB"/>
    <w:rsid w:val="7E9826A0"/>
    <w:rsid w:val="7EFC631F"/>
    <w:rsid w:val="7F1D1C47"/>
    <w:rsid w:val="7F1E3F4E"/>
    <w:rsid w:val="7F887538"/>
    <w:rsid w:val="7FA22A6F"/>
    <w:rsid w:val="7FC20A03"/>
    <w:rsid w:val="7FC55B14"/>
    <w:rsid w:val="7FCB0D66"/>
    <w:rsid w:val="7FDF2D3E"/>
    <w:rsid w:val="7FF667FE"/>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line="360" w:lineRule="auto"/>
      <w:outlineLvl w:val="0"/>
    </w:pPr>
    <w:rPr>
      <w:rFonts w:ascii="宋体" w:hAnsi="宋体" w:eastAsia="黑体" w:cs="宋体"/>
      <w:kern w:val="44"/>
      <w:sz w:val="32"/>
      <w:szCs w:val="28"/>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style>
  <w:style w:type="paragraph" w:styleId="6">
    <w:name w:val="Normal Indent"/>
    <w:basedOn w:val="1"/>
    <w:next w:val="1"/>
    <w:qFormat/>
    <w:uiPriority w:val="0"/>
    <w:pPr>
      <w:ind w:firstLine="420" w:firstLineChars="200"/>
    </w:pPr>
    <w:rPr>
      <w:kern w:val="0"/>
      <w:sz w:val="20"/>
      <w:szCs w:val="21"/>
    </w:rPr>
  </w:style>
  <w:style w:type="paragraph" w:styleId="7">
    <w:name w:val="annotation text"/>
    <w:basedOn w:val="1"/>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99"/>
    <w:pPr>
      <w:snapToGrid w:val="0"/>
    </w:pPr>
    <w:rPr>
      <w:rFonts w:ascii="Arial" w:hAnsi="Arial" w:cs="Arial"/>
    </w:rPr>
  </w:style>
  <w:style w:type="paragraph" w:styleId="11">
    <w:name w:val="index 4"/>
    <w:basedOn w:val="1"/>
    <w:next w:val="1"/>
    <w:unhideWhenUsed/>
    <w:qFormat/>
    <w:uiPriority w:val="99"/>
    <w:pPr>
      <w:ind w:left="600" w:leftChars="600"/>
    </w:pPr>
    <w:rPr>
      <w:rFonts w:ascii="Calibri" w:hAnsi="Calibri"/>
    </w:rPr>
  </w:style>
  <w:style w:type="paragraph" w:styleId="12">
    <w:name w:val="Plain Text"/>
    <w:basedOn w:val="1"/>
    <w:next w:val="5"/>
    <w:qFormat/>
    <w:uiPriority w:val="0"/>
    <w:rPr>
      <w:rFonts w:ascii="宋体" w:hAnsi="Courier New" w:cs="Courier New"/>
      <w:szCs w:val="21"/>
    </w:rPr>
  </w:style>
  <w:style w:type="paragraph" w:styleId="13">
    <w:name w:val="Balloon Text"/>
    <w:basedOn w:val="1"/>
    <w:semiHidden/>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cs="Calibri"/>
      <w:b/>
      <w:bCs/>
      <w:caps/>
      <w:szCs w:val="20"/>
    </w:rPr>
  </w:style>
  <w:style w:type="paragraph" w:styleId="17">
    <w:name w:val="Body Text Indent 3"/>
    <w:basedOn w:val="1"/>
    <w:semiHidden/>
    <w:unhideWhenUsed/>
    <w:qFormat/>
    <w:uiPriority w:val="99"/>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0">
    <w:name w:val="Body Text First Indent"/>
    <w:basedOn w:val="8"/>
    <w:qFormat/>
    <w:uiPriority w:val="0"/>
    <w:pPr>
      <w:spacing w:line="312" w:lineRule="auto"/>
      <w:ind w:firstLine="420"/>
    </w:pPr>
    <w:rPr>
      <w:szCs w:val="24"/>
    </w:rPr>
  </w:style>
  <w:style w:type="paragraph" w:styleId="21">
    <w:name w:val="Body Text First Indent 2"/>
    <w:basedOn w:val="9"/>
    <w:unhideWhenUsed/>
    <w:qFormat/>
    <w:uiPriority w:val="0"/>
    <w:pPr>
      <w:widowControl/>
      <w:spacing w:after="120" w:line="256" w:lineRule="auto"/>
      <w:ind w:left="420" w:leftChars="200"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99"/>
    <w:rPr>
      <w:rFonts w:eastAsia="宋体"/>
      <w:color w:val="0000FF"/>
      <w:sz w:val="28"/>
      <w:u w:val="single"/>
    </w:rPr>
  </w:style>
  <w:style w:type="character" w:styleId="28">
    <w:name w:val="annotation reference"/>
    <w:qFormat/>
    <w:uiPriority w:val="0"/>
    <w:rPr>
      <w:sz w:val="21"/>
      <w:szCs w:val="21"/>
    </w:rPr>
  </w:style>
  <w:style w:type="paragraph" w:customStyle="1" w:styleId="29">
    <w:name w:val="表格文字"/>
    <w:basedOn w:val="1"/>
    <w:qFormat/>
    <w:uiPriority w:val="0"/>
    <w:pPr>
      <w:spacing w:before="25" w:after="25"/>
      <w:jc w:val="left"/>
    </w:pPr>
    <w:rPr>
      <w:bCs/>
      <w:spacing w:val="10"/>
      <w:kern w:val="0"/>
      <w:sz w:val="24"/>
    </w:rPr>
  </w:style>
  <w:style w:type="paragraph" w:styleId="30">
    <w:name w:val="List Paragraph"/>
    <w:basedOn w:val="1"/>
    <w:qFormat/>
    <w:uiPriority w:val="34"/>
    <w:pPr>
      <w:ind w:firstLine="420" w:firstLineChars="200"/>
    </w:pPr>
    <w:rPr>
      <w:szCs w:val="22"/>
    </w:rPr>
  </w:style>
  <w:style w:type="paragraph" w:customStyle="1" w:styleId="31">
    <w:name w:val="列出段落1"/>
    <w:basedOn w:val="1"/>
    <w:qFormat/>
    <w:uiPriority w:val="34"/>
    <w:pPr>
      <w:ind w:firstLine="420" w:firstLineChars="200"/>
    </w:pPr>
  </w:style>
  <w:style w:type="paragraph" w:customStyle="1" w:styleId="32">
    <w:name w:val="列出段落11"/>
    <w:basedOn w:val="1"/>
    <w:qFormat/>
    <w:uiPriority w:val="34"/>
    <w:pPr>
      <w:autoSpaceDE w:val="0"/>
      <w:autoSpaceDN w:val="0"/>
      <w:adjustRightInd w:val="0"/>
      <w:ind w:firstLine="420" w:firstLineChars="200"/>
      <w:jc w:val="left"/>
    </w:pPr>
    <w:rPr>
      <w:kern w:val="0"/>
      <w:sz w:val="20"/>
      <w:szCs w:val="20"/>
      <w:lang w:val="zh-CN"/>
    </w:rPr>
  </w:style>
  <w:style w:type="paragraph" w:customStyle="1" w:styleId="3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5">
    <w:name w:val="正文 New New New New New New New New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Table Paragraph"/>
    <w:basedOn w:val="1"/>
    <w:qFormat/>
    <w:uiPriority w:val="1"/>
    <w:rPr>
      <w:rFonts w:ascii="宋体" w:hAnsi="宋体" w:cs="宋体"/>
      <w:lang w:val="zh-CN" w:bidi="zh-CN"/>
    </w:rPr>
  </w:style>
  <w:style w:type="paragraph" w:customStyle="1" w:styleId="37">
    <w:name w:val="正文正"/>
    <w:basedOn w:val="38"/>
    <w:qFormat/>
    <w:uiPriority w:val="0"/>
    <w:pPr>
      <w:spacing w:line="560" w:lineRule="exact"/>
      <w:ind w:firstLine="561"/>
    </w:pPr>
    <w:rPr>
      <w:sz w:val="28"/>
    </w:rPr>
  </w:style>
  <w:style w:type="paragraph" w:customStyle="1" w:styleId="38">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39">
    <w:name w:val="_Style 3"/>
    <w:next w:val="17"/>
    <w:qFormat/>
    <w:uiPriority w:val="0"/>
    <w:rPr>
      <w:rFonts w:ascii="Calibri" w:hAnsi="Calibri" w:eastAsia="宋体" w:cs="Times New Roman"/>
      <w:sz w:val="22"/>
      <w:szCs w:val="22"/>
      <w:lang w:val="en-US" w:eastAsia="en-US" w:bidi="en-US"/>
    </w:rPr>
  </w:style>
  <w:style w:type="paragraph" w:customStyle="1" w:styleId="40">
    <w:name w:val="列表段落1"/>
    <w:basedOn w:val="1"/>
    <w:qFormat/>
    <w:uiPriority w:val="0"/>
    <w:pPr>
      <w:ind w:firstLine="420" w:firstLineChars="200"/>
    </w:pPr>
    <w:rPr>
      <w:rFonts w:ascii="Times New Roman" w:hAnsi="Times New Roman"/>
      <w:szCs w:val="21"/>
    </w:rPr>
  </w:style>
  <w:style w:type="paragraph" w:customStyle="1" w:styleId="41">
    <w:name w:val="p0"/>
    <w:basedOn w:val="1"/>
    <w:qFormat/>
    <w:uiPriority w:val="0"/>
    <w:pPr>
      <w:widowControl/>
    </w:pPr>
    <w:rPr>
      <w:kern w:val="0"/>
      <w:szCs w:val="21"/>
    </w:rPr>
  </w:style>
  <w:style w:type="character" w:customStyle="1" w:styleId="42">
    <w:name w:val="page number"/>
    <w:basedOn w:val="24"/>
    <w:qFormat/>
    <w:uiPriority w:val="0"/>
  </w:style>
  <w:style w:type="paragraph" w:customStyle="1" w:styleId="43">
    <w:name w:val="null3"/>
    <w:hidden/>
    <w:qFormat/>
    <w:uiPriority w:val="0"/>
    <w:rPr>
      <w:rFonts w:hint="eastAsia" w:asciiTheme="minorHAnsi" w:hAnsiTheme="minorHAnsi" w:eastAsiaTheme="minorEastAsia" w:cstheme="minorBidi"/>
      <w:lang w:val="en-US" w:eastAsia="zh-Hans"/>
    </w:rPr>
  </w:style>
  <w:style w:type="character" w:customStyle="1" w:styleId="44">
    <w:name w:val="font61"/>
    <w:basedOn w:val="24"/>
    <w:qFormat/>
    <w:uiPriority w:val="0"/>
    <w:rPr>
      <w:rFonts w:hint="eastAsia" w:ascii="宋体" w:hAnsi="宋体" w:eastAsia="宋体" w:cs="宋体"/>
      <w:color w:val="000000"/>
      <w:sz w:val="21"/>
      <w:szCs w:val="21"/>
      <w:u w:val="none"/>
    </w:rPr>
  </w:style>
  <w:style w:type="character" w:customStyle="1" w:styleId="45">
    <w:name w:val="font71"/>
    <w:basedOn w:val="24"/>
    <w:qFormat/>
    <w:uiPriority w:val="0"/>
    <w:rPr>
      <w:rFonts w:hint="eastAsia" w:ascii="宋体" w:hAnsi="宋体" w:eastAsia="宋体" w:cs="宋体"/>
      <w:color w:val="000000"/>
      <w:sz w:val="21"/>
      <w:szCs w:val="21"/>
      <w:u w:val="none"/>
    </w:rPr>
  </w:style>
  <w:style w:type="paragraph" w:customStyle="1" w:styleId="4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标3"/>
    <w:basedOn w:val="1"/>
    <w:next w:val="1"/>
    <w:qFormat/>
    <w:uiPriority w:val="0"/>
    <w:pPr>
      <w:adjustRightInd w:val="0"/>
      <w:spacing w:line="312" w:lineRule="auto"/>
      <w:outlineLvl w:val="2"/>
    </w:pPr>
    <w:rPr>
      <w:rFonts w:ascii="Calibri" w:hAnsi="Calibri" w:cs="Arial"/>
      <w:b/>
      <w:bCs/>
      <w:kern w:val="24"/>
      <w:sz w:val="28"/>
    </w:rPr>
  </w:style>
  <w:style w:type="paragraph" w:customStyle="1" w:styleId="48">
    <w:name w:val="样式 宋体 行距: 1.5 倍行距"/>
    <w:basedOn w:val="1"/>
    <w:qFormat/>
    <w:uiPriority w:val="0"/>
    <w:pPr>
      <w:jc w:val="center"/>
    </w:pPr>
    <w:rPr>
      <w:b/>
    </w:rPr>
  </w:style>
  <w:style w:type="paragraph" w:customStyle="1" w:styleId="49">
    <w:name w:val="表头"/>
    <w:basedOn w:val="1"/>
    <w:qFormat/>
    <w:uiPriority w:val="0"/>
    <w:pPr>
      <w:spacing w:line="360" w:lineRule="auto"/>
      <w:jc w:val="center"/>
    </w:pPr>
    <w:rPr>
      <w:rFonts w:ascii="黑体" w:hAnsi="Times New Roman" w:eastAsia="黑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19630</Words>
  <Characters>20638</Characters>
  <Lines>230</Lines>
  <Paragraphs>64</Paragraphs>
  <TotalTime>2</TotalTime>
  <ScaleCrop>false</ScaleCrop>
  <LinksUpToDate>false</LinksUpToDate>
  <CharactersWithSpaces>21819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2023-03-29T02:14:00Z</dcterms:created>
  <dc:creator>AAA</dc:creator>
  <cp:lastModifiedBy>杨镇珲</cp:lastModifiedBy>
  <cp:lastPrinted>2024-11-06T06:48:00Z</cp:lastPrinted>
  <dcterms:modified xsi:type="dcterms:W3CDTF">2024-11-06T10:34:41Z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62CD4FC2EAC144E98AAF01C7A666CAA7_13</vt:lpwstr>
  </property>
</Properties>
</file>